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tbl>
      <w:tblPr>
        <w:tblStyle w:val="5"/>
        <w:tblW w:w="5687" w:type="pct"/>
        <w:jc w:val="center"/>
        <w:tblLayout w:type="autofit"/>
        <w:tblCellMar>
          <w:top w:w="0" w:type="dxa"/>
          <w:left w:w="108" w:type="dxa"/>
          <w:bottom w:w="0" w:type="dxa"/>
          <w:right w:w="108" w:type="dxa"/>
        </w:tblCellMar>
      </w:tblPr>
      <w:tblGrid>
        <w:gridCol w:w="867"/>
        <w:gridCol w:w="3738"/>
        <w:gridCol w:w="1152"/>
        <w:gridCol w:w="2303"/>
        <w:gridCol w:w="1584"/>
        <w:gridCol w:w="1871"/>
        <w:gridCol w:w="1872"/>
        <w:gridCol w:w="2735"/>
      </w:tblGrid>
      <w:tr>
        <w:tblPrEx>
          <w:tblCellMar>
            <w:top w:w="0" w:type="dxa"/>
            <w:left w:w="108" w:type="dxa"/>
            <w:bottom w:w="0" w:type="dxa"/>
            <w:right w:w="108" w:type="dxa"/>
          </w:tblCellMar>
        </w:tblPrEx>
        <w:trPr>
          <w:trHeight w:val="993" w:hRule="exact"/>
          <w:jc w:val="center"/>
        </w:trPr>
        <w:tc>
          <w:tcPr>
            <w:tcW w:w="16122" w:type="dxa"/>
            <w:gridSpan w:val="8"/>
            <w:tcBorders>
              <w:top w:val="nil"/>
              <w:bottom w:val="single" w:color="auto" w:sz="4" w:space="0"/>
            </w:tcBorders>
          </w:tcPr>
          <w:p>
            <w:pPr>
              <w:widowControl/>
              <w:jc w:val="center"/>
              <w:rPr>
                <w:rFonts w:ascii="方正小标宋简体" w:hAnsi="宋体" w:eastAsia="方正小标宋简体" w:cs="宋体"/>
                <w:color w:val="000000"/>
                <w:kern w:val="0"/>
                <w:sz w:val="40"/>
                <w:szCs w:val="40"/>
              </w:rPr>
            </w:pPr>
            <w:r>
              <w:rPr>
                <w:rFonts w:ascii="方正小标宋简体" w:hAnsi="宋体" w:eastAsia="方正小标宋简体" w:cs="宋体"/>
                <w:color w:val="000000"/>
                <w:kern w:val="0"/>
                <w:sz w:val="40"/>
                <w:szCs w:val="40"/>
              </w:rPr>
              <w:t>省</w:t>
            </w:r>
            <w:r>
              <w:rPr>
                <w:rFonts w:hint="eastAsia" w:ascii="方正小标宋简体" w:hAnsi="宋体" w:eastAsia="方正小标宋简体" w:cs="宋体"/>
                <w:color w:val="000000"/>
                <w:kern w:val="0"/>
                <w:sz w:val="40"/>
                <w:szCs w:val="40"/>
              </w:rPr>
              <w:t>药监</w:t>
            </w:r>
            <w:r>
              <w:rPr>
                <w:rFonts w:ascii="方正小标宋简体" w:hAnsi="宋体" w:eastAsia="方正小标宋简体" w:cs="宋体"/>
                <w:color w:val="000000"/>
                <w:kern w:val="0"/>
                <w:sz w:val="40"/>
                <w:szCs w:val="40"/>
              </w:rPr>
              <w:t>局</w:t>
            </w:r>
            <w:r>
              <w:rPr>
                <w:rFonts w:hint="eastAsia" w:ascii="方正小标宋简体" w:hAnsi="宋体" w:eastAsia="方正小标宋简体" w:cs="宋体"/>
                <w:color w:val="000000"/>
                <w:kern w:val="0"/>
                <w:sz w:val="40"/>
                <w:szCs w:val="40"/>
              </w:rPr>
              <w:t>科技计划项目验收公示表</w:t>
            </w:r>
          </w:p>
          <w:p>
            <w:pPr>
              <w:widowControl/>
              <w:jc w:val="center"/>
              <w:rPr>
                <w:rFonts w:ascii="仿宋_GB2312" w:hAnsi="Calibri" w:eastAsia="仿宋_GB2312" w:cs="Times New Roman"/>
                <w:b/>
                <w:color w:val="000000"/>
                <w:sz w:val="28"/>
                <w:szCs w:val="28"/>
              </w:rPr>
            </w:pPr>
            <w:r>
              <w:rPr>
                <w:rFonts w:ascii="仿宋_GB2312" w:hAnsi="Calibri" w:eastAsia="仿宋_GB2312" w:cs="Times New Roman"/>
                <w:b/>
                <w:color w:val="000000"/>
                <w:sz w:val="28"/>
                <w:szCs w:val="28"/>
              </w:rPr>
              <w:t xml:space="preserve">                                                                 </w:t>
            </w:r>
          </w:p>
        </w:tc>
      </w:tr>
      <w:tr>
        <w:tblPrEx>
          <w:tblCellMar>
            <w:top w:w="0" w:type="dxa"/>
            <w:left w:w="108" w:type="dxa"/>
            <w:bottom w:w="0" w:type="dxa"/>
            <w:right w:w="108" w:type="dxa"/>
          </w:tblCellMar>
        </w:tblPrEx>
        <w:trPr>
          <w:trHeight w:val="1140" w:hRule="exact"/>
          <w:jc w:val="center"/>
        </w:trPr>
        <w:tc>
          <w:tcPr>
            <w:tcW w:w="8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序号</w:t>
            </w:r>
          </w:p>
        </w:tc>
        <w:tc>
          <w:tcPr>
            <w:tcW w:w="3738" w:type="dxa"/>
            <w:tcBorders>
              <w:top w:val="single" w:color="auto" w:sz="4" w:space="0"/>
              <w:left w:val="nil"/>
              <w:bottom w:val="single" w:color="auto" w:sz="4" w:space="0"/>
              <w:right w:val="single" w:color="auto" w:sz="4" w:space="0"/>
            </w:tcBorders>
            <w:vAlign w:val="center"/>
          </w:tcPr>
          <w:p>
            <w:pPr>
              <w:widowControl/>
              <w:jc w:val="center"/>
              <w:rPr>
                <w:b/>
              </w:rPr>
            </w:pPr>
            <w:r>
              <w:rPr>
                <w:rFonts w:hint="eastAsia" w:ascii="仿宋_GB2312" w:hAnsi="宋体" w:eastAsia="仿宋_GB2312" w:cs="宋体"/>
                <w:b/>
                <w:color w:val="000000"/>
                <w:kern w:val="0"/>
                <w:sz w:val="28"/>
                <w:szCs w:val="28"/>
              </w:rPr>
              <w:t>项目名称</w:t>
            </w:r>
          </w:p>
        </w:tc>
        <w:tc>
          <w:tcPr>
            <w:tcW w:w="11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项目</w:t>
            </w:r>
          </w:p>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负责人</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承担单位</w:t>
            </w:r>
          </w:p>
        </w:tc>
        <w:tc>
          <w:tcPr>
            <w:tcW w:w="15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合作单位</w:t>
            </w:r>
          </w:p>
        </w:tc>
        <w:tc>
          <w:tcPr>
            <w:tcW w:w="18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类别</w:t>
            </w:r>
          </w:p>
        </w:tc>
        <w:tc>
          <w:tcPr>
            <w:tcW w:w="18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验收结果</w:t>
            </w:r>
          </w:p>
        </w:tc>
        <w:tc>
          <w:tcPr>
            <w:tcW w:w="27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验收专家</w:t>
            </w:r>
          </w:p>
        </w:tc>
      </w:tr>
      <w:tr>
        <w:tblPrEx>
          <w:tblCellMar>
            <w:top w:w="0" w:type="dxa"/>
            <w:left w:w="108" w:type="dxa"/>
            <w:bottom w:w="0" w:type="dxa"/>
            <w:right w:w="108" w:type="dxa"/>
          </w:tblCellMar>
        </w:tblPrEx>
        <w:trPr>
          <w:trHeight w:val="1515" w:hRule="exact"/>
          <w:jc w:val="center"/>
        </w:trPr>
        <w:tc>
          <w:tcPr>
            <w:tcW w:w="86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3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eastAsia="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吉他霉素类抗生素组分杂质控制平台的建立及应用研究</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eastAsia="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王建</w:t>
            </w: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eastAsia="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浙江省食品药品检验研究院</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无</w:t>
            </w:r>
          </w:p>
        </w:tc>
        <w:tc>
          <w:tcPr>
            <w:tcW w:w="187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应用技术</w:t>
            </w:r>
          </w:p>
        </w:tc>
        <w:tc>
          <w:tcPr>
            <w:tcW w:w="187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通  过</w:t>
            </w:r>
          </w:p>
        </w:tc>
        <w:tc>
          <w:tcPr>
            <w:tcW w:w="27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杨江丰</w:t>
            </w:r>
          </w:p>
          <w:p>
            <w:pPr>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宋旭峰</w:t>
            </w:r>
          </w:p>
          <w:p>
            <w:pPr>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董作军</w:t>
            </w:r>
          </w:p>
          <w:p>
            <w:pPr>
              <w:jc w:val="center"/>
              <w:rPr>
                <w:rFonts w:hint="default"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谢志鹏</w:t>
            </w:r>
          </w:p>
          <w:p>
            <w:pPr>
              <w:jc w:val="center"/>
              <w:rPr>
                <w:rFonts w:ascii="仿宋_GB2312" w:hAnsi="宋体" w:eastAsia="仿宋_GB2312" w:cs="Times New Roman"/>
                <w:sz w:val="28"/>
                <w:szCs w:val="28"/>
              </w:rPr>
            </w:pPr>
            <w:r>
              <w:rPr>
                <w:rFonts w:hint="eastAsia" w:ascii="仿宋_GB2312" w:hAnsi="宋体" w:eastAsia="仿宋_GB2312" w:cs="Times New Roman"/>
                <w:sz w:val="28"/>
                <w:szCs w:val="28"/>
              </w:rPr>
              <w:t>吴人照</w:t>
            </w:r>
          </w:p>
          <w:p>
            <w:pPr>
              <w:jc w:val="center"/>
              <w:rPr>
                <w:rFonts w:ascii="仿宋_GB2312" w:hAnsi="宋体" w:eastAsia="仿宋_GB2312" w:cs="Times New Roman"/>
                <w:sz w:val="24"/>
                <w:szCs w:val="24"/>
              </w:rPr>
            </w:pPr>
            <w:r>
              <w:rPr>
                <w:rFonts w:hint="eastAsia" w:ascii="仿宋_GB2312" w:hAnsi="宋体" w:eastAsia="仿宋_GB2312" w:cs="Times New Roman"/>
                <w:sz w:val="28"/>
                <w:szCs w:val="28"/>
              </w:rPr>
              <w:t>庄海民</w:t>
            </w:r>
          </w:p>
        </w:tc>
      </w:tr>
      <w:tr>
        <w:tblPrEx>
          <w:tblCellMar>
            <w:top w:w="0" w:type="dxa"/>
            <w:left w:w="108" w:type="dxa"/>
            <w:bottom w:w="0" w:type="dxa"/>
            <w:right w:w="108" w:type="dxa"/>
          </w:tblCellMar>
        </w:tblPrEx>
        <w:trPr>
          <w:trHeight w:val="1565" w:hRule="exac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3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eastAsia="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碳酸氢盐控制的肠溶制剂预测性溶出方法应用研究</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eastAsia="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阮昊</w:t>
            </w: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eastAsia="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浙江省食品药品检验研究院</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无</w:t>
            </w:r>
          </w:p>
        </w:tc>
        <w:tc>
          <w:tcPr>
            <w:tcW w:w="187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应用技术</w:t>
            </w:r>
          </w:p>
        </w:tc>
        <w:tc>
          <w:tcPr>
            <w:tcW w:w="187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 xml:space="preserve">通 </w:t>
            </w:r>
            <w:r>
              <w:rPr>
                <w:rFonts w:ascii="仿宋_GB2312" w:hAnsi="宋体" w:eastAsia="仿宋_GB2312" w:cs="Times New Roman"/>
                <w:sz w:val="24"/>
                <w:szCs w:val="24"/>
              </w:rPr>
              <w:t xml:space="preserve"> </w:t>
            </w:r>
            <w:r>
              <w:rPr>
                <w:rFonts w:hint="eastAsia" w:ascii="仿宋_GB2312" w:hAnsi="宋体" w:eastAsia="仿宋_GB2312" w:cs="Times New Roman"/>
                <w:sz w:val="24"/>
                <w:szCs w:val="24"/>
              </w:rPr>
              <w:t>过</w:t>
            </w: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p>
        </w:tc>
      </w:tr>
      <w:tr>
        <w:tblPrEx>
          <w:tblCellMar>
            <w:top w:w="0" w:type="dxa"/>
            <w:left w:w="108" w:type="dxa"/>
            <w:bottom w:w="0" w:type="dxa"/>
            <w:right w:w="108" w:type="dxa"/>
          </w:tblCellMar>
        </w:tblPrEx>
        <w:trPr>
          <w:trHeight w:val="1971" w:hRule="exac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3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eastAsia="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关联审评制度下注射用头孢呋辛钠与胶塞相容性研究及评价体系建立</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eastAsia="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梁键谋</w:t>
            </w: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eastAsia="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浙江省食品药品检验研究院</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无</w:t>
            </w:r>
          </w:p>
        </w:tc>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应用技术</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通  过</w:t>
            </w: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p>
        </w:tc>
      </w:tr>
      <w:tr>
        <w:tblPrEx>
          <w:tblCellMar>
            <w:top w:w="0" w:type="dxa"/>
            <w:left w:w="108" w:type="dxa"/>
            <w:bottom w:w="0" w:type="dxa"/>
            <w:right w:w="108" w:type="dxa"/>
          </w:tblCellMar>
        </w:tblPrEx>
        <w:trPr>
          <w:trHeight w:val="1564" w:hRule="exac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4</w:t>
            </w:r>
          </w:p>
        </w:tc>
        <w:tc>
          <w:tcPr>
            <w:tcW w:w="3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原料药中金属元素的残留研究和控制策略</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郑金琪</w:t>
            </w: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浙江省食品药品检验研究院</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sz w:val="24"/>
                <w:szCs w:val="24"/>
              </w:rPr>
            </w:pPr>
            <w:r>
              <w:rPr>
                <w:rFonts w:hint="eastAsia" w:ascii="仿宋_GB2312" w:eastAsia="仿宋_GB2312"/>
                <w:sz w:val="24"/>
                <w:szCs w:val="24"/>
              </w:rPr>
              <w:t>无</w:t>
            </w:r>
          </w:p>
        </w:tc>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应用技术</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sz w:val="28"/>
                <w:szCs w:val="28"/>
              </w:rPr>
            </w:pPr>
            <w:r>
              <w:rPr>
                <w:rFonts w:hint="eastAsia" w:ascii="仿宋_GB2312" w:hAnsi="宋体" w:eastAsia="仿宋_GB2312" w:cs="Times New Roman"/>
                <w:sz w:val="24"/>
                <w:szCs w:val="24"/>
              </w:rPr>
              <w:t>通  过</w:t>
            </w:r>
          </w:p>
        </w:tc>
        <w:tc>
          <w:tcPr>
            <w:tcW w:w="2735" w:type="dxa"/>
            <w:vMerge w:val="restart"/>
            <w:tcBorders>
              <w:top w:val="single" w:color="auto" w:sz="4" w:space="0"/>
              <w:left w:val="nil"/>
              <w:right w:val="single" w:color="auto" w:sz="4" w:space="0"/>
            </w:tcBorders>
            <w:vAlign w:val="center"/>
          </w:tcPr>
          <w:p>
            <w:pPr>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杨江丰</w:t>
            </w:r>
          </w:p>
          <w:p>
            <w:pPr>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宋旭峰</w:t>
            </w:r>
          </w:p>
          <w:p>
            <w:pPr>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董作军</w:t>
            </w:r>
          </w:p>
          <w:p>
            <w:pPr>
              <w:jc w:val="center"/>
              <w:rPr>
                <w:rFonts w:hint="default"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谢志鹏</w:t>
            </w:r>
          </w:p>
          <w:p>
            <w:pPr>
              <w:jc w:val="center"/>
              <w:rPr>
                <w:rFonts w:ascii="仿宋_GB2312" w:hAnsi="宋体" w:eastAsia="仿宋_GB2312" w:cs="Times New Roman"/>
                <w:sz w:val="28"/>
                <w:szCs w:val="28"/>
              </w:rPr>
            </w:pPr>
            <w:r>
              <w:rPr>
                <w:rFonts w:hint="eastAsia" w:ascii="仿宋_GB2312" w:hAnsi="宋体" w:eastAsia="仿宋_GB2312" w:cs="Times New Roman"/>
                <w:sz w:val="28"/>
                <w:szCs w:val="28"/>
              </w:rPr>
              <w:t>吴人照</w:t>
            </w:r>
          </w:p>
          <w:p>
            <w:pPr>
              <w:jc w:val="center"/>
              <w:rPr>
                <w:rFonts w:ascii="仿宋_GB2312" w:hAnsi="宋体" w:eastAsia="仿宋_GB2312" w:cs="Times New Roman"/>
                <w:sz w:val="24"/>
                <w:szCs w:val="24"/>
              </w:rPr>
            </w:pPr>
            <w:r>
              <w:rPr>
                <w:rFonts w:hint="eastAsia" w:ascii="仿宋_GB2312" w:hAnsi="宋体" w:eastAsia="仿宋_GB2312" w:cs="Times New Roman"/>
                <w:sz w:val="28"/>
                <w:szCs w:val="28"/>
              </w:rPr>
              <w:t>庄海民</w:t>
            </w:r>
          </w:p>
        </w:tc>
      </w:tr>
      <w:tr>
        <w:tblPrEx>
          <w:tblCellMar>
            <w:top w:w="0" w:type="dxa"/>
            <w:left w:w="108" w:type="dxa"/>
            <w:bottom w:w="0" w:type="dxa"/>
            <w:right w:w="108" w:type="dxa"/>
          </w:tblCellMar>
        </w:tblPrEx>
        <w:trPr>
          <w:trHeight w:val="1449" w:hRule="exac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5</w:t>
            </w:r>
          </w:p>
        </w:tc>
        <w:tc>
          <w:tcPr>
            <w:tcW w:w="3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常用中药精制饮片质量标准研究</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毛威</w:t>
            </w: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绍兴市食品药品检验研究院</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绍兴震元中药饮片有限公司</w:t>
            </w:r>
          </w:p>
        </w:tc>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应用技术</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通  过</w:t>
            </w:r>
          </w:p>
        </w:tc>
        <w:tc>
          <w:tcPr>
            <w:tcW w:w="2735" w:type="dxa"/>
            <w:vMerge w:val="continue"/>
            <w:tcBorders>
              <w:left w:val="nil"/>
              <w:right w:val="single" w:color="auto" w:sz="4" w:space="0"/>
            </w:tcBorders>
            <w:vAlign w:val="center"/>
          </w:tcPr>
          <w:p>
            <w:pPr>
              <w:jc w:val="center"/>
              <w:rPr>
                <w:rFonts w:ascii="仿宋_GB2312" w:hAnsi="宋体" w:eastAsia="仿宋_GB2312" w:cs="Times New Roman"/>
                <w:sz w:val="24"/>
                <w:szCs w:val="24"/>
              </w:rPr>
            </w:pPr>
          </w:p>
        </w:tc>
      </w:tr>
      <w:tr>
        <w:tblPrEx>
          <w:tblCellMar>
            <w:top w:w="0" w:type="dxa"/>
            <w:left w:w="108" w:type="dxa"/>
            <w:bottom w:w="0" w:type="dxa"/>
            <w:right w:w="108" w:type="dxa"/>
          </w:tblCellMar>
        </w:tblPrEx>
        <w:trPr>
          <w:trHeight w:val="1521" w:hRule="exac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6</w:t>
            </w:r>
          </w:p>
        </w:tc>
        <w:tc>
          <w:tcPr>
            <w:tcW w:w="3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头孢菌素类药物中毒性杂质及其他未知杂质的筛查研究</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李俊</w:t>
            </w: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台州市药品检验研究院</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浙江永宁药业股份有限公司</w:t>
            </w:r>
          </w:p>
        </w:tc>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应用技术</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通  过</w:t>
            </w:r>
          </w:p>
        </w:tc>
        <w:tc>
          <w:tcPr>
            <w:tcW w:w="2735" w:type="dxa"/>
            <w:vMerge w:val="continue"/>
            <w:tcBorders>
              <w:left w:val="nil"/>
              <w:right w:val="single" w:color="auto" w:sz="4" w:space="0"/>
            </w:tcBorders>
            <w:vAlign w:val="center"/>
          </w:tcPr>
          <w:p>
            <w:pPr>
              <w:jc w:val="center"/>
              <w:rPr>
                <w:rFonts w:ascii="仿宋_GB2312" w:hAnsi="宋体" w:eastAsia="仿宋_GB2312" w:cs="Times New Roman"/>
                <w:sz w:val="24"/>
                <w:szCs w:val="24"/>
              </w:rPr>
            </w:pPr>
          </w:p>
        </w:tc>
      </w:tr>
      <w:tr>
        <w:tblPrEx>
          <w:tblCellMar>
            <w:top w:w="0" w:type="dxa"/>
            <w:left w:w="108" w:type="dxa"/>
            <w:bottom w:w="0" w:type="dxa"/>
            <w:right w:w="108" w:type="dxa"/>
          </w:tblCellMar>
        </w:tblPrEx>
        <w:trPr>
          <w:trHeight w:val="1583" w:hRule="exac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7</w:t>
            </w:r>
          </w:p>
        </w:tc>
        <w:tc>
          <w:tcPr>
            <w:tcW w:w="3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药品生产环节风险指标体系构建研究</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孙洁胤</w:t>
            </w: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浙江医药高等专科学校</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无</w:t>
            </w:r>
          </w:p>
        </w:tc>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应用技术</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通  过</w:t>
            </w:r>
          </w:p>
        </w:tc>
        <w:tc>
          <w:tcPr>
            <w:tcW w:w="2735" w:type="dxa"/>
            <w:vMerge w:val="continue"/>
            <w:tcBorders>
              <w:left w:val="nil"/>
              <w:right w:val="single" w:color="auto" w:sz="4" w:space="0"/>
            </w:tcBorders>
            <w:vAlign w:val="center"/>
          </w:tcPr>
          <w:p>
            <w:pPr>
              <w:jc w:val="center"/>
              <w:rPr>
                <w:rFonts w:ascii="仿宋_GB2312" w:hAnsi="宋体" w:eastAsia="仿宋_GB2312" w:cs="Times New Roman"/>
                <w:sz w:val="24"/>
                <w:szCs w:val="24"/>
              </w:rPr>
            </w:pPr>
          </w:p>
        </w:tc>
      </w:tr>
      <w:tr>
        <w:tblPrEx>
          <w:tblCellMar>
            <w:top w:w="0" w:type="dxa"/>
            <w:left w:w="108" w:type="dxa"/>
            <w:bottom w:w="0" w:type="dxa"/>
            <w:right w:w="108" w:type="dxa"/>
          </w:tblCellMar>
        </w:tblPrEx>
        <w:trPr>
          <w:trHeight w:val="1971" w:hRule="exac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8</w:t>
            </w:r>
          </w:p>
        </w:tc>
        <w:tc>
          <w:tcPr>
            <w:tcW w:w="3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多因素影响下浙产铁皮石斛糖类成分变化规律的研究</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陈才军</w:t>
            </w: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舟山市食品药品检验检测研究院</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天台县麒宇石斛开发有限公司</w:t>
            </w:r>
          </w:p>
        </w:tc>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应用技术</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通  过</w:t>
            </w:r>
          </w:p>
        </w:tc>
        <w:tc>
          <w:tcPr>
            <w:tcW w:w="2735" w:type="dxa"/>
            <w:vMerge w:val="continue"/>
            <w:tcBorders>
              <w:left w:val="nil"/>
              <w:bottom w:val="single" w:color="auto" w:sz="4" w:space="0"/>
              <w:right w:val="single" w:color="auto" w:sz="4" w:space="0"/>
            </w:tcBorders>
            <w:vAlign w:val="center"/>
          </w:tcPr>
          <w:p>
            <w:pPr>
              <w:jc w:val="center"/>
              <w:rPr>
                <w:rFonts w:ascii="仿宋_GB2312" w:hAnsi="宋体" w:eastAsia="仿宋_GB2312" w:cs="Times New Roman"/>
                <w:sz w:val="24"/>
                <w:szCs w:val="24"/>
              </w:rPr>
            </w:pPr>
          </w:p>
        </w:tc>
      </w:tr>
      <w:tr>
        <w:tblPrEx>
          <w:tblCellMar>
            <w:top w:w="0" w:type="dxa"/>
            <w:left w:w="108" w:type="dxa"/>
            <w:bottom w:w="0" w:type="dxa"/>
            <w:right w:w="108" w:type="dxa"/>
          </w:tblCellMar>
        </w:tblPrEx>
        <w:trPr>
          <w:trHeight w:val="1971" w:hRule="exac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9</w:t>
            </w:r>
          </w:p>
        </w:tc>
        <w:tc>
          <w:tcPr>
            <w:tcW w:w="3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化妆品中双酚A及其衍生物的液质联用法测定和暴露风险评估</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周勇</w:t>
            </w: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舟山市食品药品检验检测研究院</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舟山市中医院</w:t>
            </w:r>
          </w:p>
        </w:tc>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应用技术</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通  过</w:t>
            </w:r>
          </w:p>
        </w:tc>
        <w:tc>
          <w:tcPr>
            <w:tcW w:w="27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张  艳</w:t>
            </w:r>
          </w:p>
          <w:p>
            <w:pPr>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林丽琴</w:t>
            </w:r>
          </w:p>
          <w:p>
            <w:pPr>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陈德文</w:t>
            </w:r>
          </w:p>
          <w:p>
            <w:pPr>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廖上富</w:t>
            </w:r>
          </w:p>
          <w:p>
            <w:pPr>
              <w:jc w:val="cente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8"/>
                <w:szCs w:val="28"/>
                <w:lang w:val="en-US" w:eastAsia="zh-CN"/>
              </w:rPr>
              <w:t>庄海民</w:t>
            </w:r>
          </w:p>
        </w:tc>
      </w:tr>
      <w:tr>
        <w:tblPrEx>
          <w:tblCellMar>
            <w:top w:w="0" w:type="dxa"/>
            <w:left w:w="108" w:type="dxa"/>
            <w:bottom w:w="0" w:type="dxa"/>
            <w:right w:w="108" w:type="dxa"/>
          </w:tblCellMar>
        </w:tblPrEx>
        <w:trPr>
          <w:trHeight w:val="1971" w:hRule="exac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10</w:t>
            </w:r>
          </w:p>
        </w:tc>
        <w:tc>
          <w:tcPr>
            <w:tcW w:w="3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化妆品风险指标体系构建及预警模型研究</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曾平莉</w:t>
            </w: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浙江医药高等专科学校</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应用技术</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通  过</w:t>
            </w: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p>
        </w:tc>
      </w:tr>
      <w:tr>
        <w:tblPrEx>
          <w:tblCellMar>
            <w:top w:w="0" w:type="dxa"/>
            <w:left w:w="108" w:type="dxa"/>
            <w:bottom w:w="0" w:type="dxa"/>
            <w:right w:w="108" w:type="dxa"/>
          </w:tblCellMar>
        </w:tblPrEx>
        <w:trPr>
          <w:trHeight w:val="1971" w:hRule="exac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11</w:t>
            </w:r>
          </w:p>
        </w:tc>
        <w:tc>
          <w:tcPr>
            <w:tcW w:w="3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植入性医疗器械安全风险数据采集边界研究</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周双林</w:t>
            </w: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浙江医药高等专科学校</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浙江省药品认证检查中心、浙江省医疗器械审评中心</w:t>
            </w:r>
          </w:p>
        </w:tc>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应用技术</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通  过</w:t>
            </w:r>
          </w:p>
        </w:tc>
        <w:tc>
          <w:tcPr>
            <w:tcW w:w="27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焦庆春</w:t>
            </w:r>
          </w:p>
          <w:p>
            <w:pPr>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葛尔宁</w:t>
            </w:r>
          </w:p>
          <w:p>
            <w:pPr>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冯靖祎</w:t>
            </w:r>
          </w:p>
          <w:p>
            <w:pPr>
              <w:jc w:val="cente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8"/>
                <w:szCs w:val="28"/>
                <w:lang w:val="en-US" w:eastAsia="zh-CN"/>
              </w:rPr>
              <w:t>庄海民</w:t>
            </w:r>
          </w:p>
        </w:tc>
      </w:tr>
      <w:tr>
        <w:tblPrEx>
          <w:tblCellMar>
            <w:top w:w="0" w:type="dxa"/>
            <w:left w:w="108" w:type="dxa"/>
            <w:bottom w:w="0" w:type="dxa"/>
            <w:right w:w="108" w:type="dxa"/>
          </w:tblCellMar>
        </w:tblPrEx>
        <w:trPr>
          <w:trHeight w:val="1971" w:hRule="exac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12</w:t>
            </w:r>
          </w:p>
        </w:tc>
        <w:tc>
          <w:tcPr>
            <w:tcW w:w="3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人工晶状体有效光学区直径测试方法研究</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骆永洁</w:t>
            </w: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浙江省医疗器械检验研究院</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应用技术</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通  过</w:t>
            </w: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p>
        </w:tc>
      </w:tr>
      <w:tr>
        <w:tblPrEx>
          <w:tblCellMar>
            <w:top w:w="0" w:type="dxa"/>
            <w:left w:w="108" w:type="dxa"/>
            <w:bottom w:w="0" w:type="dxa"/>
            <w:right w:w="108" w:type="dxa"/>
          </w:tblCellMar>
        </w:tblPrEx>
        <w:trPr>
          <w:trHeight w:val="1971" w:hRule="exac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13</w:t>
            </w:r>
          </w:p>
        </w:tc>
        <w:tc>
          <w:tcPr>
            <w:tcW w:w="3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浙江省事业单位科研激励机制研究</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徐向彩</w:t>
            </w: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浙江省医疗器械检验研究院</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Times New Roman"/>
                <w:sz w:val="24"/>
                <w:szCs w:val="24"/>
              </w:rPr>
            </w:pPr>
            <w:r>
              <w:rPr>
                <w:rFonts w:hint="eastAsia" w:ascii="仿宋_GB2312" w:hAnsi="仿宋_GB2312" w:eastAsia="仿宋_GB2312" w:cs="仿宋_GB2312"/>
                <w:i w:val="0"/>
                <w:iCs w:val="0"/>
                <w:color w:val="000000"/>
                <w:kern w:val="0"/>
                <w:sz w:val="24"/>
                <w:szCs w:val="24"/>
                <w:u w:val="none"/>
                <w:lang w:val="en-US" w:eastAsia="zh-CN" w:bidi="ar"/>
              </w:rPr>
              <w:t>软科学研究</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通  过</w:t>
            </w:r>
          </w:p>
        </w:tc>
        <w:tc>
          <w:tcPr>
            <w:tcW w:w="27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焦庆春</w:t>
            </w:r>
          </w:p>
          <w:p>
            <w:pPr>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葛尔宁</w:t>
            </w:r>
          </w:p>
          <w:p>
            <w:pPr>
              <w:jc w:val="center"/>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val="en-US" w:eastAsia="zh-CN"/>
              </w:rPr>
              <w:t>冯靖祎</w:t>
            </w:r>
          </w:p>
          <w:p>
            <w:pPr>
              <w:jc w:val="center"/>
              <w:rPr>
                <w:rFonts w:ascii="仿宋_GB2312" w:hAnsi="宋体" w:eastAsia="仿宋_GB2312" w:cs="Times New Roman"/>
                <w:sz w:val="24"/>
                <w:szCs w:val="24"/>
              </w:rPr>
            </w:pPr>
            <w:r>
              <w:rPr>
                <w:rFonts w:hint="eastAsia" w:ascii="仿宋_GB2312" w:hAnsi="宋体" w:eastAsia="仿宋_GB2312" w:cs="Times New Roman"/>
                <w:sz w:val="28"/>
                <w:szCs w:val="28"/>
                <w:lang w:val="en-US" w:eastAsia="zh-CN"/>
              </w:rPr>
              <w:t>庄海民</w:t>
            </w:r>
            <w:bookmarkStart w:id="0" w:name="_GoBack"/>
            <w:bookmarkEnd w:id="0"/>
          </w:p>
        </w:tc>
      </w:tr>
      <w:tr>
        <w:tblPrEx>
          <w:tblCellMar>
            <w:top w:w="0" w:type="dxa"/>
            <w:left w:w="108" w:type="dxa"/>
            <w:bottom w:w="0" w:type="dxa"/>
            <w:right w:w="108" w:type="dxa"/>
          </w:tblCellMar>
        </w:tblPrEx>
        <w:trPr>
          <w:trHeight w:val="1971" w:hRule="exac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14</w:t>
            </w:r>
          </w:p>
        </w:tc>
        <w:tc>
          <w:tcPr>
            <w:tcW w:w="3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浙江省医疗器械分类界定审查机制</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徐向彩</w:t>
            </w: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浙江省医疗器械检验研究院</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Times New Roman"/>
                <w:sz w:val="24"/>
                <w:szCs w:val="24"/>
              </w:rPr>
            </w:pPr>
            <w:r>
              <w:rPr>
                <w:rFonts w:hint="eastAsia" w:ascii="仿宋_GB2312" w:hAnsi="仿宋_GB2312" w:eastAsia="仿宋_GB2312" w:cs="仿宋_GB2312"/>
                <w:i w:val="0"/>
                <w:iCs w:val="0"/>
                <w:color w:val="000000"/>
                <w:kern w:val="0"/>
                <w:sz w:val="24"/>
                <w:szCs w:val="24"/>
                <w:u w:val="none"/>
                <w:lang w:val="en-US" w:eastAsia="zh-CN" w:bidi="ar"/>
              </w:rPr>
              <w:t>软科学研究</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通  过</w:t>
            </w: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p>
        </w:tc>
      </w:tr>
      <w:tr>
        <w:tblPrEx>
          <w:tblCellMar>
            <w:top w:w="0" w:type="dxa"/>
            <w:left w:w="108" w:type="dxa"/>
            <w:bottom w:w="0" w:type="dxa"/>
            <w:right w:w="108" w:type="dxa"/>
          </w:tblCellMar>
        </w:tblPrEx>
        <w:trPr>
          <w:trHeight w:val="1971" w:hRule="exac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15</w:t>
            </w:r>
          </w:p>
        </w:tc>
        <w:tc>
          <w:tcPr>
            <w:tcW w:w="3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医用机器人关键性能安全评价方法研究</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孙正捷</w:t>
            </w: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浙江省医疗器械检验研究院</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浙江大学</w:t>
            </w:r>
          </w:p>
        </w:tc>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应用技术</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通  过</w:t>
            </w: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p>
        </w:tc>
      </w:tr>
      <w:tr>
        <w:tblPrEx>
          <w:tblCellMar>
            <w:top w:w="0" w:type="dxa"/>
            <w:left w:w="108" w:type="dxa"/>
            <w:bottom w:w="0" w:type="dxa"/>
            <w:right w:w="108" w:type="dxa"/>
          </w:tblCellMar>
        </w:tblPrEx>
        <w:trPr>
          <w:trHeight w:val="1971" w:hRule="exact"/>
          <w:jc w:val="center"/>
        </w:trPr>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16</w:t>
            </w:r>
          </w:p>
        </w:tc>
        <w:tc>
          <w:tcPr>
            <w:tcW w:w="3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组合式髋关节假体头-颈连接部位微动磨损腐蚀行为评价方法研究</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周梦林</w:t>
            </w: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浙江省医疗器械检验研究院</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无</w:t>
            </w:r>
          </w:p>
        </w:tc>
        <w:tc>
          <w:tcPr>
            <w:tcW w:w="1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应用技术</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通  过</w:t>
            </w: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p>
        </w:tc>
      </w:tr>
    </w:tbl>
    <w:p/>
    <w:sectPr>
      <w:headerReference r:id="rId3" w:type="default"/>
      <w:headerReference r:id="rId4" w:type="even"/>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iYjY3ZTQwMzgyODRkNzhkNTM4NDc4OGQ3MTJjYjIifQ=="/>
  </w:docVars>
  <w:rsids>
    <w:rsidRoot w:val="00595BBB"/>
    <w:rsid w:val="000179FB"/>
    <w:rsid w:val="00022E34"/>
    <w:rsid w:val="00071C30"/>
    <w:rsid w:val="000A2004"/>
    <w:rsid w:val="000A5ECC"/>
    <w:rsid w:val="000B639E"/>
    <w:rsid w:val="000D2CCC"/>
    <w:rsid w:val="001003A7"/>
    <w:rsid w:val="0019535A"/>
    <w:rsid w:val="001A4479"/>
    <w:rsid w:val="001C296C"/>
    <w:rsid w:val="001E6C41"/>
    <w:rsid w:val="00201C98"/>
    <w:rsid w:val="002E4E03"/>
    <w:rsid w:val="002F4903"/>
    <w:rsid w:val="0035514A"/>
    <w:rsid w:val="00364FEC"/>
    <w:rsid w:val="003F7516"/>
    <w:rsid w:val="004001AF"/>
    <w:rsid w:val="00435735"/>
    <w:rsid w:val="00492903"/>
    <w:rsid w:val="00493F40"/>
    <w:rsid w:val="004B3ECB"/>
    <w:rsid w:val="004E55BD"/>
    <w:rsid w:val="00510D46"/>
    <w:rsid w:val="00521114"/>
    <w:rsid w:val="00526144"/>
    <w:rsid w:val="00541228"/>
    <w:rsid w:val="005423F2"/>
    <w:rsid w:val="005449D9"/>
    <w:rsid w:val="00580A52"/>
    <w:rsid w:val="0058632A"/>
    <w:rsid w:val="00595BBB"/>
    <w:rsid w:val="00613D92"/>
    <w:rsid w:val="0062719A"/>
    <w:rsid w:val="00642CC5"/>
    <w:rsid w:val="00645E30"/>
    <w:rsid w:val="0069171F"/>
    <w:rsid w:val="006A0D57"/>
    <w:rsid w:val="007124D9"/>
    <w:rsid w:val="007152DC"/>
    <w:rsid w:val="00727FAB"/>
    <w:rsid w:val="007600BD"/>
    <w:rsid w:val="007E202C"/>
    <w:rsid w:val="007E7BD0"/>
    <w:rsid w:val="00886CD3"/>
    <w:rsid w:val="008F2FEE"/>
    <w:rsid w:val="00953D0D"/>
    <w:rsid w:val="009B7294"/>
    <w:rsid w:val="00B33811"/>
    <w:rsid w:val="00B50018"/>
    <w:rsid w:val="00B673A9"/>
    <w:rsid w:val="00BE7CB6"/>
    <w:rsid w:val="00C61A0F"/>
    <w:rsid w:val="00C62CCC"/>
    <w:rsid w:val="00C954F5"/>
    <w:rsid w:val="00C95595"/>
    <w:rsid w:val="00CC34BE"/>
    <w:rsid w:val="00CE4DD8"/>
    <w:rsid w:val="00DB4766"/>
    <w:rsid w:val="00DC6800"/>
    <w:rsid w:val="00DD310E"/>
    <w:rsid w:val="00DD6218"/>
    <w:rsid w:val="00DD6BC9"/>
    <w:rsid w:val="00DE4F46"/>
    <w:rsid w:val="00E84159"/>
    <w:rsid w:val="00EA1BC8"/>
    <w:rsid w:val="00F5781A"/>
    <w:rsid w:val="00F70758"/>
    <w:rsid w:val="00FB1D29"/>
    <w:rsid w:val="00FB5C91"/>
    <w:rsid w:val="00FD414D"/>
    <w:rsid w:val="1BE42E7E"/>
    <w:rsid w:val="1E946354"/>
    <w:rsid w:val="3E6F2642"/>
    <w:rsid w:val="3FD87363"/>
    <w:rsid w:val="43F743C0"/>
    <w:rsid w:val="5D8F77E8"/>
    <w:rsid w:val="6F045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1BF54-6965-4C64-A027-3691A07FA5C1}">
  <ds:schemaRefs/>
</ds:datastoreItem>
</file>

<file path=docProps/app.xml><?xml version="1.0" encoding="utf-8"?>
<Properties xmlns="http://schemas.openxmlformats.org/officeDocument/2006/extended-properties" xmlns:vt="http://schemas.openxmlformats.org/officeDocument/2006/docPropsVTypes">
  <Template>Normal.dotm</Template>
  <Pages>5</Pages>
  <Words>833</Words>
  <Characters>840</Characters>
  <Lines>2</Lines>
  <Paragraphs>1</Paragraphs>
  <TotalTime>0</TotalTime>
  <ScaleCrop>false</ScaleCrop>
  <LinksUpToDate>false</LinksUpToDate>
  <CharactersWithSpaces>1419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2021-05-14T09:04:00Z</dcterms:created>
  <dc:creator>苏丹</dc:creator>
  <cp:lastModifiedBy>Y^2+3</cp:lastModifiedBy>
  <cp:lastPrinted>2021-05-20T01:26:00Z</cp:lastPrinted>
  <dcterms:modified xsi:type="dcterms:W3CDTF">2022-06-13T03:32:44Z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C6B44EDDB3B442AD8A6165CD23039E9C</vt:lpwstr>
  </property>
</Properties>
</file>