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5" w:rsidRPr="004D03DE" w:rsidRDefault="00FF6515" w:rsidP="00FF6515">
      <w:pPr>
        <w:widowControl/>
        <w:adjustRightInd w:val="0"/>
        <w:snapToGrid w:val="0"/>
        <w:spacing w:line="600" w:lineRule="exact"/>
        <w:jc w:val="left"/>
        <w:rPr>
          <w:rFonts w:eastAsia="方正小标宋简体"/>
          <w:color w:val="000000"/>
          <w:sz w:val="32"/>
          <w:szCs w:val="32"/>
        </w:rPr>
      </w:pPr>
      <w:r w:rsidRPr="004D03DE">
        <w:rPr>
          <w:rFonts w:eastAsia="黑体"/>
          <w:sz w:val="32"/>
          <w:szCs w:val="30"/>
        </w:rPr>
        <w:t>附件</w:t>
      </w:r>
      <w:r w:rsidRPr="004D03DE">
        <w:rPr>
          <w:rFonts w:eastAsia="黑体"/>
          <w:sz w:val="32"/>
          <w:szCs w:val="30"/>
        </w:rPr>
        <w:t>2</w:t>
      </w:r>
    </w:p>
    <w:tbl>
      <w:tblPr>
        <w:tblW w:w="9627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1304"/>
        <w:gridCol w:w="1500"/>
        <w:gridCol w:w="976"/>
        <w:gridCol w:w="302"/>
        <w:gridCol w:w="338"/>
        <w:gridCol w:w="2069"/>
        <w:gridCol w:w="194"/>
        <w:gridCol w:w="2944"/>
      </w:tblGrid>
      <w:tr w:rsidR="00FF6515" w:rsidRPr="004D03DE" w:rsidTr="00352455">
        <w:trPr>
          <w:trHeight w:val="900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40"/>
                <w:szCs w:val="40"/>
              </w:rPr>
            </w:pPr>
            <w:bookmarkStart w:id="0" w:name="RANGE!A1:C54"/>
            <w:bookmarkStart w:id="1" w:name="_GoBack"/>
            <w:r w:rsidRPr="004D03DE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沟通交流申请表</w:t>
            </w:r>
            <w:bookmarkEnd w:id="0"/>
            <w:bookmarkEnd w:id="1"/>
          </w:p>
        </w:tc>
      </w:tr>
      <w:tr w:rsidR="00FF6515" w:rsidRPr="004D03DE" w:rsidTr="00352455">
        <w:trPr>
          <w:trHeight w:val="220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我们保证：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br/>
            </w:r>
            <w:r w:rsidRPr="004D03D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①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本申请遵守《中华人民共和国药品管理法》《药品注册管理办法》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20"/>
              </w:rPr>
              <w:t>《药品</w:t>
            </w:r>
            <w:r>
              <w:rPr>
                <w:rFonts w:eastAsia="仿宋_GB2312"/>
                <w:color w:val="000000"/>
                <w:kern w:val="0"/>
                <w:sz w:val="16"/>
                <w:szCs w:val="20"/>
              </w:rPr>
              <w:t>生产监督管理办法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20"/>
              </w:rPr>
              <w:t>》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和《药品上市后</w:t>
            </w:r>
            <w:r>
              <w:rPr>
                <w:rFonts w:eastAsia="仿宋_GB2312" w:hint="eastAsia"/>
                <w:color w:val="000000"/>
                <w:kern w:val="0"/>
                <w:sz w:val="16"/>
                <w:szCs w:val="20"/>
              </w:rPr>
              <w:t>变更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管理办法（试行）》等法律、法规和规章、标准、指导原则和规范的有关规定；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br/>
            </w:r>
            <w:r w:rsidRPr="004D03D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②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本申请所提交资料、样品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均真实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且来源合法，药品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研制全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过程符合相关管理规范，信息真实、准确、完整和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可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追溯。申报事项未侵犯他人的权益，申报资料中除有参考文献的数据和研究资料外，其余数据和研究资料均为申请人自行取得或者合法取得；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br/>
            </w:r>
            <w:r w:rsidRPr="004D03D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③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本申请一并提交的电子文件与打印文件内容完全一致；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br/>
            </w:r>
            <w:r w:rsidRPr="004D03D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④</w:t>
            </w:r>
            <w:r w:rsidRPr="004D03DE">
              <w:rPr>
                <w:rFonts w:eastAsia="仿宋_GB2312"/>
                <w:color w:val="000000"/>
                <w:kern w:val="0"/>
                <w:sz w:val="16"/>
                <w:szCs w:val="20"/>
              </w:rPr>
              <w:t>以上声明如查有不实之处，我们承担由此导致的一切法律后果。</w:t>
            </w:r>
          </w:p>
        </w:tc>
      </w:tr>
      <w:tr w:rsidR="00FF6515" w:rsidRPr="004D03DE" w:rsidTr="00352455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药品名称</w:t>
            </w:r>
          </w:p>
        </w:tc>
        <w:tc>
          <w:tcPr>
            <w:tcW w:w="2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批准文号（登记号）</w:t>
            </w:r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</w:tr>
      <w:tr w:rsidR="00FF6515" w:rsidRPr="004D03DE" w:rsidTr="00352455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54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适应症或功能主治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给药途径和给药方法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121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申请事由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无法确定变更管理类别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br/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调整法律法规、技术指导原则或变更分类清单中明确的变更管理类别</w:t>
            </w:r>
          </w:p>
          <w:p w:rsidR="00FF6515" w:rsidRPr="004D03DE" w:rsidRDefault="00FF6515" w:rsidP="00352455"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降低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升级）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br/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调整持有人变更清单中的变更管理类别（降低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□  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升级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FF6515" w:rsidRPr="004D03DE" w:rsidTr="00352455">
        <w:trPr>
          <w:trHeight w:val="292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变更事项清单（请勾选）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中药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药学变更中属于中等变更的事项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变更药品包装规格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变更药品生产场地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变更生产工艺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变更制剂处方中的辅料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变更药品包装材料和容器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变更药品有效期或贮藏条件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变更注册标准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其他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（请注明具体事项）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化药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药学变更中属于中等变更的事项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变更原料药生产工艺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变更制剂处方中的辅料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变更制剂生产工艺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变更制剂所用原料药的供应商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变更生产批量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变更注册标准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变更包装材料和容器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变更有效期和贮藏条件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变更生产场地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其他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（请注明具体事项）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治疗用生物制品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预防用生物制品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lastRenderedPageBreak/>
              <w:t>按生物制品管理的体外诊断试剂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lastRenderedPageBreak/>
              <w:t>药学变更中属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lastRenderedPageBreak/>
              <w:t>于中等变更的事项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lastRenderedPageBreak/>
              <w:t>1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原液生产用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24"/>
              </w:rPr>
              <w:t>种子批及细胞库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原液培养基和生产用原材料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原液生产场地、规模和工艺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原液工艺过程控制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原液质量控制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原液生产中直接接触材料及容器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变更原料药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原液贮藏条件和贮藏期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变更制剂规格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变更制剂辅料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变更制剂生产场地、规模和工艺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11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变更制剂稀释剂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变更制剂质量控制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变更制剂标准品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/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24"/>
              </w:rPr>
              <w:t>参比品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变更制剂包装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变更制剂贮运条件和有效期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16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24"/>
              </w:rPr>
              <w:t>变更按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24"/>
              </w:rPr>
              <w:t>生物制品管理的体外诊断试剂基于免疫学方法检测试剂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17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24"/>
              </w:rPr>
              <w:t>变更按</w:t>
            </w:r>
            <w:proofErr w:type="gramEnd"/>
            <w:r w:rsidRPr="004D03DE">
              <w:rPr>
                <w:rFonts w:eastAsia="仿宋_GB2312"/>
                <w:color w:val="000000"/>
                <w:kern w:val="0"/>
                <w:sz w:val="24"/>
              </w:rPr>
              <w:t>生物制品管理的体外诊断试剂病原微生物核酸检测试剂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其他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（请注明具体事项）</w:t>
            </w:r>
          </w:p>
        </w:tc>
      </w:tr>
      <w:tr w:rsidR="00FF6515" w:rsidRPr="004D03DE" w:rsidTr="00352455">
        <w:trPr>
          <w:trHeight w:val="85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简述变更内容及其研究验证过程和结果等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1680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自评估结论（变更类别、理由）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28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沟通交流类型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网络沟通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电话沟通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书面沟通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□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会议沟通</w:t>
            </w:r>
          </w:p>
        </w:tc>
      </w:tr>
      <w:tr w:rsidR="00FF6515" w:rsidRPr="004D03DE" w:rsidTr="00352455">
        <w:trPr>
          <w:trHeight w:val="570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申请参加沟通的人员及简要背景（如职务）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58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5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职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4D03DE">
              <w:rPr>
                <w:rFonts w:eastAsia="仿宋_GB2312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55"/>
        </w:trPr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邮政编号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0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持有人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4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832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lastRenderedPageBreak/>
              <w:t>原料药登记人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15" w:rsidRPr="004D03DE" w:rsidRDefault="00FF6515" w:rsidP="0035245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F6515" w:rsidRPr="004D03DE" w:rsidTr="00352455">
        <w:trPr>
          <w:trHeight w:val="57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法定代表人或其授权人签字并加盖公章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5" w:rsidRPr="004D03DE" w:rsidRDefault="00FF6515" w:rsidP="00352455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  <w:p w:rsidR="00FF6515" w:rsidRPr="004D03DE" w:rsidRDefault="00FF6515" w:rsidP="00352455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  <w:p w:rsidR="00FF6515" w:rsidRPr="004D03DE" w:rsidRDefault="00FF6515" w:rsidP="00352455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F6515" w:rsidRPr="004D03DE" w:rsidRDefault="00FF6515" w:rsidP="00352455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4D03DE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4D03DE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FF6515" w:rsidRPr="004D03DE" w:rsidRDefault="00FF6515" w:rsidP="00FF6515">
      <w:pPr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75510" w:rsidRDefault="00575510"/>
    <w:sectPr w:rsidR="0057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5"/>
    <w:rsid w:val="00575510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B72C-3332-470C-9FBA-776BA98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1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2021-01-18T03:21:00Z</dcterms:created>
  <dcterms:modified xsi:type="dcterms:W3CDTF">2021-01-18T03:21:00Z</dcterms:modified>
</cp:coreProperties>
</file>