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1E" w:rsidRPr="00353BA1" w:rsidRDefault="00F1161E" w:rsidP="00F1161E">
      <w:pPr>
        <w:rPr>
          <w:rFonts w:eastAsia="黑体"/>
          <w:szCs w:val="32"/>
        </w:rPr>
      </w:pPr>
      <w:bookmarkStart w:id="0" w:name="_GoBack"/>
      <w:r w:rsidRPr="00353BA1">
        <w:rPr>
          <w:rFonts w:eastAsia="黑体"/>
          <w:szCs w:val="32"/>
        </w:rPr>
        <w:t>附件</w:t>
      </w:r>
      <w:r w:rsidRPr="00353BA1">
        <w:rPr>
          <w:rFonts w:eastAsia="黑体"/>
          <w:szCs w:val="32"/>
        </w:rPr>
        <w:t xml:space="preserve">1 </w:t>
      </w:r>
      <w:r w:rsidRPr="00353BA1">
        <w:rPr>
          <w:rFonts w:eastAsia="黑体"/>
          <w:szCs w:val="32"/>
        </w:rPr>
        <w:t>：医疗机构制剂注册申报资料</w:t>
      </w:r>
    </w:p>
    <w:bookmarkEnd w:id="0"/>
    <w:p w:rsidR="00F1161E" w:rsidRPr="00353BA1" w:rsidRDefault="00F1161E" w:rsidP="00F1161E">
      <w:pPr>
        <w:ind w:firstLineChars="250" w:firstLine="800"/>
        <w:rPr>
          <w:rFonts w:eastAsia="仿宋_GB2312"/>
          <w:szCs w:val="32"/>
        </w:rPr>
      </w:pPr>
      <w:r w:rsidRPr="00353BA1">
        <w:rPr>
          <w:rFonts w:eastAsia="仿宋_GB2312"/>
          <w:szCs w:val="32"/>
        </w:rPr>
        <w:t>（一）申报资料项目表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5710"/>
        <w:gridCol w:w="1890"/>
      </w:tblGrid>
      <w:tr w:rsidR="00F1161E" w:rsidRPr="00353BA1" w:rsidTr="0070114A">
        <w:trPr>
          <w:trHeight w:val="389"/>
        </w:trPr>
        <w:tc>
          <w:tcPr>
            <w:tcW w:w="959" w:type="dxa"/>
            <w:shd w:val="clear" w:color="auto" w:fill="auto"/>
          </w:tcPr>
          <w:p w:rsidR="00F1161E" w:rsidRPr="00353BA1" w:rsidRDefault="00F1161E" w:rsidP="0070114A">
            <w:pPr>
              <w:spacing w:line="520" w:lineRule="exact"/>
              <w:jc w:val="center"/>
              <w:rPr>
                <w:b/>
                <w:sz w:val="21"/>
                <w:szCs w:val="21"/>
              </w:rPr>
            </w:pPr>
            <w:r w:rsidRPr="00353BA1">
              <w:rPr>
                <w:b/>
                <w:sz w:val="21"/>
                <w:szCs w:val="21"/>
              </w:rPr>
              <w:t>序号</w:t>
            </w:r>
          </w:p>
        </w:tc>
        <w:tc>
          <w:tcPr>
            <w:tcW w:w="6095" w:type="dxa"/>
            <w:shd w:val="clear" w:color="auto" w:fill="auto"/>
          </w:tcPr>
          <w:p w:rsidR="00F1161E" w:rsidRPr="00353BA1" w:rsidRDefault="00F1161E" w:rsidP="0070114A">
            <w:pPr>
              <w:spacing w:line="520" w:lineRule="exact"/>
              <w:jc w:val="center"/>
              <w:rPr>
                <w:b/>
                <w:sz w:val="21"/>
                <w:szCs w:val="21"/>
              </w:rPr>
            </w:pPr>
            <w:r w:rsidRPr="00353BA1">
              <w:rPr>
                <w:b/>
                <w:sz w:val="21"/>
                <w:szCs w:val="21"/>
              </w:rPr>
              <w:t>材料名称</w:t>
            </w:r>
          </w:p>
        </w:tc>
        <w:tc>
          <w:tcPr>
            <w:tcW w:w="1985" w:type="dxa"/>
            <w:shd w:val="clear" w:color="auto" w:fill="auto"/>
          </w:tcPr>
          <w:p w:rsidR="00F1161E" w:rsidRPr="00353BA1" w:rsidRDefault="00F1161E" w:rsidP="0070114A">
            <w:pPr>
              <w:spacing w:line="520" w:lineRule="exact"/>
              <w:jc w:val="center"/>
              <w:rPr>
                <w:b/>
                <w:sz w:val="21"/>
                <w:szCs w:val="21"/>
              </w:rPr>
            </w:pPr>
            <w:r w:rsidRPr="00353BA1">
              <w:rPr>
                <w:b/>
                <w:sz w:val="21"/>
                <w:szCs w:val="21"/>
              </w:rPr>
              <w:t>是否必填，是</w:t>
            </w:r>
            <w:r w:rsidRPr="00353BA1">
              <w:rPr>
                <w:b/>
                <w:sz w:val="21"/>
                <w:szCs w:val="21"/>
              </w:rPr>
              <w:t>/</w:t>
            </w:r>
            <w:r w:rsidRPr="00353BA1">
              <w:rPr>
                <w:b/>
                <w:sz w:val="21"/>
                <w:szCs w:val="21"/>
              </w:rPr>
              <w:t>否</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w:t>
            </w:r>
          </w:p>
        </w:tc>
        <w:tc>
          <w:tcPr>
            <w:tcW w:w="6095" w:type="dxa"/>
            <w:shd w:val="clear" w:color="auto" w:fill="auto"/>
          </w:tcPr>
          <w:p w:rsidR="00F1161E" w:rsidRPr="00353BA1" w:rsidRDefault="00F1161E" w:rsidP="0070114A">
            <w:pPr>
              <w:spacing w:line="520" w:lineRule="exact"/>
              <w:rPr>
                <w:sz w:val="21"/>
                <w:szCs w:val="21"/>
              </w:rPr>
            </w:pPr>
            <w:r w:rsidRPr="00353BA1">
              <w:rPr>
                <w:sz w:val="21"/>
                <w:szCs w:val="21"/>
              </w:rPr>
              <w:t>申报资料真实性声明</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2</w:t>
            </w:r>
          </w:p>
        </w:tc>
        <w:tc>
          <w:tcPr>
            <w:tcW w:w="6095" w:type="dxa"/>
            <w:shd w:val="clear" w:color="auto" w:fill="auto"/>
          </w:tcPr>
          <w:p w:rsidR="00F1161E" w:rsidRPr="00353BA1" w:rsidRDefault="00F1161E" w:rsidP="0070114A">
            <w:pPr>
              <w:spacing w:line="520" w:lineRule="exact"/>
              <w:rPr>
                <w:sz w:val="21"/>
                <w:szCs w:val="21"/>
              </w:rPr>
            </w:pPr>
            <w:r w:rsidRPr="00353BA1">
              <w:rPr>
                <w:sz w:val="21"/>
                <w:szCs w:val="21"/>
              </w:rPr>
              <w:t>医疗机构制剂研制情况申报表</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否</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3</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制剂名称及命名依据</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4</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立题目的以及该品种的市场供应情况</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5</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证明性文件</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6</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标签及说明书设计样稿</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7</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处方组成、来源、理论依据以及使用背景情况</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8</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配制工艺的研究资料及文献资料</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9</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质量研究的试验资料及文献资料</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10</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制剂的质量标准草案及起草说明</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11</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制剂的稳定性试验资料</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12</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样品的自检报告书</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13</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原、辅料的来源及质量标准</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14</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直接接触制剂的包装材料和容器的选择依据及质量标准</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15</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主要药效学试验资料及文献资料</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是</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16</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急性毒性试验资料及文献资料</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否</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17</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长期毒性试验资料及文献资料</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否</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18</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临床研究方案</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否</w:t>
            </w:r>
          </w:p>
        </w:tc>
      </w:tr>
      <w:tr w:rsidR="00F1161E" w:rsidRPr="00353BA1" w:rsidTr="0070114A">
        <w:tc>
          <w:tcPr>
            <w:tcW w:w="959" w:type="dxa"/>
            <w:shd w:val="clear" w:color="auto" w:fill="auto"/>
          </w:tcPr>
          <w:p w:rsidR="00F1161E" w:rsidRPr="00353BA1" w:rsidRDefault="00F1161E" w:rsidP="0070114A">
            <w:pPr>
              <w:spacing w:line="520" w:lineRule="exact"/>
              <w:rPr>
                <w:sz w:val="21"/>
                <w:szCs w:val="21"/>
              </w:rPr>
            </w:pPr>
            <w:r w:rsidRPr="00353BA1">
              <w:rPr>
                <w:sz w:val="21"/>
                <w:szCs w:val="21"/>
              </w:rPr>
              <w:t>19</w:t>
            </w:r>
          </w:p>
        </w:tc>
        <w:tc>
          <w:tcPr>
            <w:tcW w:w="6095" w:type="dxa"/>
            <w:shd w:val="clear" w:color="auto" w:fill="auto"/>
          </w:tcPr>
          <w:p w:rsidR="00F1161E" w:rsidRPr="00353BA1" w:rsidRDefault="00F1161E" w:rsidP="0070114A">
            <w:pPr>
              <w:spacing w:line="520" w:lineRule="exact"/>
              <w:rPr>
                <w:sz w:val="21"/>
                <w:szCs w:val="21"/>
              </w:rPr>
            </w:pPr>
            <w:r w:rsidRPr="00353BA1">
              <w:rPr>
                <w:color w:val="000000"/>
                <w:sz w:val="21"/>
                <w:szCs w:val="21"/>
              </w:rPr>
              <w:t>临床研究总结（报配制时提供）</w:t>
            </w:r>
          </w:p>
        </w:tc>
        <w:tc>
          <w:tcPr>
            <w:tcW w:w="1985" w:type="dxa"/>
            <w:shd w:val="clear" w:color="auto" w:fill="auto"/>
          </w:tcPr>
          <w:p w:rsidR="00F1161E" w:rsidRPr="00353BA1" w:rsidRDefault="00F1161E" w:rsidP="0070114A">
            <w:pPr>
              <w:spacing w:line="520" w:lineRule="exact"/>
              <w:jc w:val="center"/>
              <w:rPr>
                <w:sz w:val="21"/>
                <w:szCs w:val="21"/>
              </w:rPr>
            </w:pPr>
            <w:r w:rsidRPr="00353BA1">
              <w:rPr>
                <w:sz w:val="21"/>
                <w:szCs w:val="21"/>
              </w:rPr>
              <w:t>否</w:t>
            </w:r>
          </w:p>
        </w:tc>
      </w:tr>
    </w:tbl>
    <w:p w:rsidR="00F1161E" w:rsidRPr="00353BA1" w:rsidRDefault="00F1161E" w:rsidP="00F1161E">
      <w:pPr>
        <w:ind w:firstLineChars="200" w:firstLine="560"/>
        <w:rPr>
          <w:rFonts w:eastAsia="仿宋_GB2312"/>
          <w:sz w:val="28"/>
          <w:szCs w:val="28"/>
        </w:rPr>
      </w:pPr>
    </w:p>
    <w:p w:rsidR="00F1161E" w:rsidRPr="00353BA1" w:rsidRDefault="00F1161E" w:rsidP="00F1161E">
      <w:pPr>
        <w:ind w:firstLineChars="200" w:firstLine="640"/>
        <w:rPr>
          <w:rFonts w:eastAsia="仿宋_GB2312"/>
          <w:szCs w:val="32"/>
        </w:rPr>
      </w:pPr>
      <w:r w:rsidRPr="00353BA1">
        <w:rPr>
          <w:rFonts w:eastAsia="仿宋_GB2312"/>
          <w:szCs w:val="32"/>
        </w:rPr>
        <w:t>（二）申报资料项目说明</w:t>
      </w:r>
    </w:p>
    <w:p w:rsidR="00F1161E" w:rsidRPr="00353BA1" w:rsidRDefault="00F1161E" w:rsidP="00F1161E">
      <w:pPr>
        <w:ind w:firstLineChars="250" w:firstLine="800"/>
        <w:rPr>
          <w:rFonts w:eastAsia="仿宋_GB2312"/>
          <w:szCs w:val="32"/>
        </w:rPr>
      </w:pPr>
      <w:r w:rsidRPr="00353BA1">
        <w:rPr>
          <w:rFonts w:eastAsia="仿宋_GB2312"/>
          <w:szCs w:val="32"/>
        </w:rPr>
        <w:t>1.</w:t>
      </w:r>
      <w:r w:rsidRPr="00353BA1">
        <w:rPr>
          <w:rFonts w:eastAsia="仿宋_GB2312"/>
          <w:szCs w:val="32"/>
        </w:rPr>
        <w:t>制剂名称及命名原则</w:t>
      </w:r>
    </w:p>
    <w:p w:rsidR="00F1161E" w:rsidRPr="00353BA1" w:rsidRDefault="00F1161E" w:rsidP="00F1161E">
      <w:pPr>
        <w:rPr>
          <w:rFonts w:eastAsia="仿宋_GB2312"/>
          <w:szCs w:val="32"/>
        </w:rPr>
      </w:pPr>
      <w:r w:rsidRPr="00353BA1">
        <w:rPr>
          <w:rFonts w:eastAsia="仿宋_GB2312"/>
          <w:szCs w:val="32"/>
        </w:rPr>
        <w:lastRenderedPageBreak/>
        <w:t xml:space="preserve">    </w:t>
      </w:r>
      <w:r w:rsidRPr="00353BA1">
        <w:rPr>
          <w:rFonts w:eastAsia="仿宋_GB2312"/>
          <w:szCs w:val="32"/>
        </w:rPr>
        <w:t>（</w:t>
      </w:r>
      <w:r w:rsidRPr="00353BA1">
        <w:rPr>
          <w:rFonts w:eastAsia="仿宋_GB2312"/>
          <w:szCs w:val="32"/>
        </w:rPr>
        <w:t>1</w:t>
      </w:r>
      <w:r w:rsidRPr="00353BA1">
        <w:rPr>
          <w:rFonts w:eastAsia="仿宋_GB2312"/>
          <w:szCs w:val="32"/>
        </w:rPr>
        <w:t>）医疗机构制剂名称应科学准确，不夸大，</w:t>
      </w:r>
      <w:proofErr w:type="gramStart"/>
      <w:r w:rsidRPr="00353BA1">
        <w:rPr>
          <w:rFonts w:eastAsia="仿宋_GB2312"/>
          <w:szCs w:val="32"/>
        </w:rPr>
        <w:t>不</w:t>
      </w:r>
      <w:proofErr w:type="gramEnd"/>
      <w:r w:rsidRPr="00353BA1">
        <w:rPr>
          <w:rFonts w:eastAsia="仿宋_GB2312"/>
          <w:szCs w:val="32"/>
        </w:rPr>
        <w:t>误导，不得使用商品名。</w:t>
      </w:r>
    </w:p>
    <w:p w:rsidR="00F1161E" w:rsidRPr="00353BA1" w:rsidRDefault="00F1161E" w:rsidP="00F1161E">
      <w:pPr>
        <w:ind w:firstLineChars="150" w:firstLine="480"/>
        <w:rPr>
          <w:rFonts w:eastAsia="仿宋_GB2312"/>
          <w:szCs w:val="32"/>
        </w:rPr>
      </w:pPr>
      <w:r w:rsidRPr="00353BA1">
        <w:rPr>
          <w:rFonts w:eastAsia="仿宋_GB2312"/>
          <w:szCs w:val="32"/>
        </w:rPr>
        <w:t>（</w:t>
      </w:r>
      <w:r w:rsidRPr="00353BA1">
        <w:rPr>
          <w:rFonts w:eastAsia="仿宋_GB2312"/>
          <w:szCs w:val="32"/>
        </w:rPr>
        <w:t>2</w:t>
      </w:r>
      <w:r w:rsidRPr="00353BA1">
        <w:rPr>
          <w:rFonts w:eastAsia="仿宋_GB2312"/>
          <w:szCs w:val="32"/>
        </w:rPr>
        <w:t>）医疗机构制剂的命名应当符合《中国药品通用名称》或国家药典委员会以其它方式确定的药品通用名称或药品命名指导原则等，应认真查询国家药品数据库，避免同名异方或同方异名的出现。</w:t>
      </w:r>
    </w:p>
    <w:p w:rsidR="00F1161E" w:rsidRPr="00353BA1" w:rsidRDefault="00F1161E" w:rsidP="00F1161E">
      <w:pPr>
        <w:ind w:firstLineChars="250" w:firstLine="800"/>
        <w:rPr>
          <w:rFonts w:eastAsia="仿宋_GB2312"/>
          <w:szCs w:val="32"/>
        </w:rPr>
      </w:pPr>
      <w:r w:rsidRPr="00353BA1">
        <w:rPr>
          <w:rFonts w:eastAsia="仿宋_GB2312"/>
          <w:szCs w:val="32"/>
        </w:rPr>
        <w:t>2.</w:t>
      </w:r>
      <w:r w:rsidRPr="00353BA1">
        <w:rPr>
          <w:rFonts w:eastAsia="仿宋_GB2312"/>
          <w:szCs w:val="32"/>
        </w:rPr>
        <w:t>立题目的和依据：重点评估合法性、安全性、必要性和市场无可替代性。</w:t>
      </w:r>
    </w:p>
    <w:p w:rsidR="00F1161E" w:rsidRPr="00353BA1" w:rsidRDefault="00F1161E" w:rsidP="00F1161E">
      <w:pPr>
        <w:ind w:firstLineChars="250" w:firstLine="800"/>
        <w:rPr>
          <w:rFonts w:eastAsia="仿宋_GB2312"/>
          <w:szCs w:val="32"/>
        </w:rPr>
      </w:pPr>
      <w:r w:rsidRPr="00353BA1">
        <w:rPr>
          <w:rFonts w:eastAsia="仿宋_GB2312"/>
          <w:szCs w:val="32"/>
        </w:rPr>
        <w:t>3.</w:t>
      </w:r>
      <w:r w:rsidRPr="00353BA1">
        <w:rPr>
          <w:rFonts w:eastAsia="仿宋_GB2312"/>
          <w:szCs w:val="32"/>
        </w:rPr>
        <w:t>证明性文件</w:t>
      </w:r>
    </w:p>
    <w:p w:rsidR="00F1161E" w:rsidRPr="00353BA1" w:rsidRDefault="00F1161E" w:rsidP="00F1161E">
      <w:pPr>
        <w:ind w:firstLineChars="200" w:firstLine="640"/>
        <w:rPr>
          <w:rFonts w:eastAsia="仿宋_GB2312"/>
          <w:szCs w:val="32"/>
        </w:rPr>
      </w:pPr>
      <w:r w:rsidRPr="00353BA1">
        <w:rPr>
          <w:rFonts w:eastAsia="仿宋_GB2312"/>
          <w:szCs w:val="32"/>
        </w:rPr>
        <w:t>（</w:t>
      </w:r>
      <w:r w:rsidRPr="00353BA1">
        <w:rPr>
          <w:rFonts w:eastAsia="仿宋_GB2312"/>
          <w:szCs w:val="32"/>
        </w:rPr>
        <w:t>1</w:t>
      </w:r>
      <w:r w:rsidRPr="00353BA1">
        <w:rPr>
          <w:rFonts w:eastAsia="仿宋_GB2312"/>
          <w:szCs w:val="32"/>
        </w:rPr>
        <w:t>）医疗机构制剂或者使用的处方、工艺等的专利情况及其权属状态说明，以及对他人的专利不构成侵权的保证书。</w:t>
      </w:r>
    </w:p>
    <w:p w:rsidR="00F1161E" w:rsidRPr="00353BA1" w:rsidRDefault="00F1161E" w:rsidP="00F1161E">
      <w:pPr>
        <w:ind w:firstLineChars="200" w:firstLine="640"/>
        <w:rPr>
          <w:rFonts w:eastAsia="仿宋_GB2312"/>
          <w:szCs w:val="32"/>
        </w:rPr>
      </w:pPr>
      <w:r w:rsidRPr="00353BA1">
        <w:rPr>
          <w:rFonts w:eastAsia="仿宋_GB2312"/>
          <w:szCs w:val="32"/>
        </w:rPr>
        <w:t>（</w:t>
      </w:r>
      <w:r w:rsidRPr="00353BA1">
        <w:rPr>
          <w:rFonts w:eastAsia="仿宋_GB2312"/>
          <w:szCs w:val="32"/>
        </w:rPr>
        <w:t>2</w:t>
      </w:r>
      <w:r w:rsidRPr="00353BA1">
        <w:rPr>
          <w:rFonts w:eastAsia="仿宋_GB2312"/>
          <w:szCs w:val="32"/>
        </w:rPr>
        <w:t>）提供化学原料药的合法来源证明文件，包括：原料药的批准证明性文件、销售发票、检验报告书、药品标准等资料。</w:t>
      </w:r>
    </w:p>
    <w:p w:rsidR="00F1161E" w:rsidRPr="00353BA1" w:rsidRDefault="00F1161E" w:rsidP="00F1161E">
      <w:pPr>
        <w:ind w:firstLineChars="200" w:firstLine="640"/>
        <w:rPr>
          <w:szCs w:val="32"/>
        </w:rPr>
      </w:pPr>
      <w:r w:rsidRPr="00353BA1">
        <w:rPr>
          <w:rFonts w:eastAsia="仿宋_GB2312"/>
          <w:szCs w:val="32"/>
        </w:rPr>
        <w:t>（</w:t>
      </w:r>
      <w:r w:rsidRPr="00353BA1">
        <w:rPr>
          <w:rFonts w:eastAsia="仿宋_GB2312"/>
          <w:szCs w:val="32"/>
        </w:rPr>
        <w:t>3</w:t>
      </w:r>
      <w:r w:rsidRPr="00353BA1">
        <w:rPr>
          <w:rFonts w:eastAsia="仿宋_GB2312"/>
          <w:szCs w:val="32"/>
        </w:rPr>
        <w:t>）提供直接接触药品的包装材料和容器的来源、资质证明及质量标准。</w:t>
      </w:r>
    </w:p>
    <w:p w:rsidR="00F1161E" w:rsidRPr="00353BA1" w:rsidRDefault="00F1161E" w:rsidP="00F1161E">
      <w:pPr>
        <w:ind w:firstLineChars="200" w:firstLine="640"/>
        <w:rPr>
          <w:rFonts w:eastAsia="仿宋_GB2312"/>
          <w:szCs w:val="32"/>
        </w:rPr>
      </w:pPr>
      <w:r w:rsidRPr="00353BA1">
        <w:rPr>
          <w:rFonts w:eastAsia="仿宋_GB2312"/>
          <w:szCs w:val="32"/>
        </w:rPr>
        <w:t>（</w:t>
      </w:r>
      <w:r w:rsidRPr="00353BA1">
        <w:rPr>
          <w:rFonts w:eastAsia="仿宋_GB2312"/>
          <w:szCs w:val="32"/>
        </w:rPr>
        <w:t>4</w:t>
      </w:r>
      <w:r w:rsidRPr="00353BA1">
        <w:rPr>
          <w:rFonts w:eastAsia="仿宋_GB2312"/>
          <w:szCs w:val="32"/>
        </w:rPr>
        <w:t>）申请委托配制中药制剂的，还应提供：委托配制合同、制剂配制单位的资质证明。</w:t>
      </w:r>
    </w:p>
    <w:p w:rsidR="00F1161E" w:rsidRPr="00353BA1" w:rsidRDefault="00F1161E" w:rsidP="00F1161E">
      <w:pPr>
        <w:ind w:firstLineChars="200" w:firstLine="640"/>
        <w:rPr>
          <w:rFonts w:eastAsia="仿宋_GB2312"/>
          <w:szCs w:val="32"/>
        </w:rPr>
      </w:pPr>
      <w:r w:rsidRPr="00353BA1">
        <w:rPr>
          <w:rFonts w:eastAsia="仿宋_GB2312"/>
          <w:szCs w:val="32"/>
        </w:rPr>
        <w:t>（</w:t>
      </w:r>
      <w:r w:rsidRPr="00353BA1">
        <w:rPr>
          <w:rFonts w:eastAsia="仿宋_GB2312"/>
          <w:szCs w:val="32"/>
        </w:rPr>
        <w:t>5</w:t>
      </w:r>
      <w:r w:rsidRPr="00353BA1">
        <w:rPr>
          <w:rFonts w:eastAsia="仿宋_GB2312"/>
          <w:szCs w:val="32"/>
        </w:rPr>
        <w:t>）委托试验的，应提供申请人与被委托机构的合同书，</w:t>
      </w:r>
      <w:proofErr w:type="gramStart"/>
      <w:r w:rsidRPr="00353BA1">
        <w:rPr>
          <w:rFonts w:eastAsia="仿宋_GB2312"/>
          <w:szCs w:val="32"/>
        </w:rPr>
        <w:t>并附该机构</w:t>
      </w:r>
      <w:proofErr w:type="gramEnd"/>
      <w:r w:rsidRPr="00353BA1">
        <w:rPr>
          <w:rFonts w:eastAsia="仿宋_GB2312"/>
          <w:szCs w:val="32"/>
        </w:rPr>
        <w:t>合法登记证明、必要的资质证明。</w:t>
      </w:r>
    </w:p>
    <w:p w:rsidR="00F1161E" w:rsidRPr="00353BA1" w:rsidRDefault="00F1161E" w:rsidP="00F1161E">
      <w:pPr>
        <w:ind w:firstLineChars="200" w:firstLine="640"/>
        <w:rPr>
          <w:rFonts w:eastAsia="仿宋_GB2312"/>
          <w:szCs w:val="32"/>
        </w:rPr>
      </w:pPr>
      <w:r w:rsidRPr="00353BA1">
        <w:rPr>
          <w:rFonts w:eastAsia="仿宋_GB2312"/>
          <w:szCs w:val="32"/>
        </w:rPr>
        <w:t>4.</w:t>
      </w:r>
      <w:r w:rsidRPr="00353BA1">
        <w:rPr>
          <w:rFonts w:eastAsia="仿宋_GB2312"/>
          <w:szCs w:val="32"/>
        </w:rPr>
        <w:t>标签和说明书设计样稿</w:t>
      </w:r>
    </w:p>
    <w:p w:rsidR="00F1161E" w:rsidRPr="00353BA1" w:rsidRDefault="00F1161E" w:rsidP="00F1161E">
      <w:pPr>
        <w:ind w:firstLineChars="200" w:firstLine="640"/>
        <w:rPr>
          <w:rFonts w:eastAsia="仿宋_GB2312"/>
          <w:szCs w:val="32"/>
        </w:rPr>
      </w:pPr>
      <w:r w:rsidRPr="00353BA1">
        <w:rPr>
          <w:rFonts w:eastAsia="仿宋_GB2312"/>
          <w:szCs w:val="32"/>
        </w:rPr>
        <w:lastRenderedPageBreak/>
        <w:t>文字、图案印制应符合《药品说明书和标签管理规定》的要求，并需标注</w:t>
      </w:r>
      <w:r w:rsidRPr="00353BA1">
        <w:rPr>
          <w:rFonts w:eastAsia="仿宋_GB2312"/>
          <w:szCs w:val="32"/>
        </w:rPr>
        <w:t>“</w:t>
      </w:r>
      <w:r w:rsidRPr="00353BA1">
        <w:rPr>
          <w:rFonts w:eastAsia="仿宋_GB2312"/>
          <w:szCs w:val="32"/>
        </w:rPr>
        <w:t>本制剂仅限本医疗机构使用</w:t>
      </w:r>
      <w:r w:rsidRPr="00353BA1">
        <w:rPr>
          <w:rFonts w:eastAsia="仿宋_GB2312"/>
          <w:szCs w:val="32"/>
        </w:rPr>
        <w:t>”</w:t>
      </w:r>
      <w:r w:rsidRPr="00353BA1">
        <w:rPr>
          <w:rFonts w:eastAsia="仿宋_GB2312"/>
          <w:szCs w:val="32"/>
        </w:rPr>
        <w:t>字样。</w:t>
      </w:r>
    </w:p>
    <w:p w:rsidR="00F1161E" w:rsidRPr="00353BA1" w:rsidRDefault="00F1161E" w:rsidP="00F1161E">
      <w:pPr>
        <w:ind w:firstLineChars="200" w:firstLine="640"/>
        <w:rPr>
          <w:rFonts w:eastAsia="仿宋_GB2312"/>
          <w:szCs w:val="32"/>
        </w:rPr>
      </w:pPr>
      <w:r w:rsidRPr="00353BA1">
        <w:rPr>
          <w:rFonts w:eastAsia="仿宋_GB2312"/>
          <w:szCs w:val="32"/>
        </w:rPr>
        <w:t>5.</w:t>
      </w:r>
      <w:r w:rsidRPr="00353BA1">
        <w:rPr>
          <w:rFonts w:eastAsia="仿宋_GB2312"/>
          <w:szCs w:val="32"/>
        </w:rPr>
        <w:t>处方组成、来源、理论依据以及使用背景情况。</w:t>
      </w:r>
    </w:p>
    <w:p w:rsidR="00F1161E" w:rsidRPr="00353BA1" w:rsidRDefault="00F1161E" w:rsidP="00F1161E">
      <w:pPr>
        <w:rPr>
          <w:rFonts w:eastAsia="仿宋_GB2312"/>
          <w:szCs w:val="32"/>
        </w:rPr>
      </w:pPr>
      <w:r w:rsidRPr="00353BA1">
        <w:rPr>
          <w:rFonts w:eastAsia="仿宋_GB2312"/>
          <w:szCs w:val="32"/>
        </w:rPr>
        <w:t xml:space="preserve">   </w:t>
      </w:r>
      <w:r w:rsidRPr="00353BA1">
        <w:rPr>
          <w:rFonts w:eastAsia="仿宋_GB2312"/>
          <w:szCs w:val="32"/>
        </w:rPr>
        <w:t>化学制剂应提供处方筛选的情况</w:t>
      </w:r>
      <w:r w:rsidRPr="00353BA1">
        <w:rPr>
          <w:rFonts w:eastAsia="仿宋_GB2312"/>
          <w:szCs w:val="32"/>
        </w:rPr>
        <w:t>,</w:t>
      </w:r>
      <w:r w:rsidRPr="00353BA1">
        <w:rPr>
          <w:rFonts w:eastAsia="仿宋_GB2312"/>
          <w:szCs w:val="32"/>
        </w:rPr>
        <w:t>中药制剂应提供详细的处方组方依据。</w:t>
      </w:r>
    </w:p>
    <w:p w:rsidR="00F1161E" w:rsidRPr="00353BA1" w:rsidRDefault="00F1161E" w:rsidP="00F1161E">
      <w:pPr>
        <w:ind w:firstLineChars="200" w:firstLine="640"/>
        <w:rPr>
          <w:rFonts w:eastAsia="仿宋_GB2312"/>
          <w:szCs w:val="32"/>
        </w:rPr>
      </w:pPr>
      <w:r w:rsidRPr="00353BA1">
        <w:rPr>
          <w:rFonts w:eastAsia="仿宋_GB2312"/>
          <w:szCs w:val="32"/>
        </w:rPr>
        <w:t>6.</w:t>
      </w:r>
      <w:r w:rsidRPr="00353BA1">
        <w:rPr>
          <w:rFonts w:eastAsia="仿宋_GB2312"/>
          <w:szCs w:val="32"/>
        </w:rPr>
        <w:t>配制工艺的研究资料及文献资料</w:t>
      </w:r>
    </w:p>
    <w:p w:rsidR="00F1161E" w:rsidRPr="00353BA1" w:rsidRDefault="00F1161E" w:rsidP="00F1161E">
      <w:pPr>
        <w:ind w:firstLineChars="219" w:firstLine="701"/>
        <w:rPr>
          <w:rFonts w:eastAsia="仿宋_GB2312"/>
          <w:szCs w:val="32"/>
        </w:rPr>
      </w:pPr>
      <w:r w:rsidRPr="00353BA1">
        <w:rPr>
          <w:rFonts w:eastAsia="仿宋_GB2312"/>
          <w:szCs w:val="32"/>
        </w:rPr>
        <w:t>描述制剂的配制工艺，提供工艺筛选的研究资料</w:t>
      </w:r>
      <w:r w:rsidRPr="00353BA1">
        <w:rPr>
          <w:rFonts w:eastAsia="仿宋_GB2312"/>
          <w:szCs w:val="32"/>
        </w:rPr>
        <w:t>(</w:t>
      </w:r>
      <w:r w:rsidRPr="00353BA1">
        <w:rPr>
          <w:rFonts w:eastAsia="仿宋_GB2312"/>
          <w:szCs w:val="32"/>
        </w:rPr>
        <w:t>包括选定工艺的依据</w:t>
      </w:r>
      <w:r w:rsidRPr="00353BA1">
        <w:rPr>
          <w:rFonts w:eastAsia="仿宋_GB2312"/>
          <w:szCs w:val="32"/>
        </w:rPr>
        <w:t>)</w:t>
      </w:r>
      <w:r w:rsidRPr="00353BA1">
        <w:rPr>
          <w:rFonts w:eastAsia="仿宋_GB2312"/>
          <w:szCs w:val="32"/>
        </w:rPr>
        <w:t>，</w:t>
      </w:r>
      <w:r w:rsidRPr="00353BA1">
        <w:rPr>
          <w:rFonts w:eastAsia="仿宋_GB2312"/>
          <w:szCs w:val="32"/>
        </w:rPr>
        <w:t>3</w:t>
      </w:r>
      <w:r w:rsidRPr="00353BA1">
        <w:rPr>
          <w:rFonts w:eastAsia="仿宋_GB2312"/>
          <w:szCs w:val="32"/>
        </w:rPr>
        <w:t>批中试数据以及相关文献资料。</w:t>
      </w:r>
    </w:p>
    <w:p w:rsidR="00F1161E" w:rsidRPr="00353BA1" w:rsidRDefault="00F1161E" w:rsidP="00F1161E">
      <w:pPr>
        <w:ind w:firstLineChars="200" w:firstLine="640"/>
        <w:rPr>
          <w:rFonts w:eastAsia="仿宋_GB2312"/>
          <w:szCs w:val="32"/>
        </w:rPr>
      </w:pPr>
      <w:r w:rsidRPr="00353BA1">
        <w:rPr>
          <w:rFonts w:eastAsia="仿宋_GB2312"/>
          <w:szCs w:val="32"/>
        </w:rPr>
        <w:t>7.</w:t>
      </w:r>
      <w:r w:rsidRPr="00353BA1">
        <w:rPr>
          <w:rFonts w:eastAsia="仿宋_GB2312"/>
          <w:szCs w:val="32"/>
        </w:rPr>
        <w:t>质量研究的试验资料及文献资料</w:t>
      </w:r>
    </w:p>
    <w:p w:rsidR="00F1161E" w:rsidRPr="00353BA1" w:rsidRDefault="00F1161E" w:rsidP="00F1161E">
      <w:pPr>
        <w:ind w:firstLineChars="200" w:firstLine="640"/>
        <w:rPr>
          <w:rFonts w:eastAsia="仿宋_GB2312"/>
          <w:szCs w:val="32"/>
        </w:rPr>
      </w:pPr>
      <w:r w:rsidRPr="00353BA1">
        <w:rPr>
          <w:rFonts w:eastAsia="仿宋_GB2312"/>
          <w:szCs w:val="32"/>
        </w:rPr>
        <w:t>质量研究项目一般包括性状、鉴别、检查和含量测定等</w:t>
      </w:r>
      <w:r w:rsidRPr="00353BA1">
        <w:rPr>
          <w:rFonts w:eastAsia="仿宋_GB2312"/>
          <w:szCs w:val="32"/>
        </w:rPr>
        <w:t>,</w:t>
      </w:r>
      <w:r w:rsidRPr="00353BA1">
        <w:rPr>
          <w:rFonts w:eastAsia="仿宋_GB2312"/>
          <w:szCs w:val="32"/>
        </w:rPr>
        <w:t>应充分考虑制剂工艺和制剂本身性质对质量的影响。</w:t>
      </w:r>
    </w:p>
    <w:p w:rsidR="00F1161E" w:rsidRPr="00353BA1" w:rsidRDefault="00F1161E" w:rsidP="00F1161E">
      <w:pPr>
        <w:ind w:firstLineChars="200" w:firstLine="640"/>
        <w:rPr>
          <w:rFonts w:eastAsia="仿宋_GB2312"/>
          <w:szCs w:val="32"/>
        </w:rPr>
      </w:pPr>
      <w:r w:rsidRPr="00353BA1">
        <w:rPr>
          <w:rFonts w:eastAsia="仿宋_GB2312"/>
          <w:szCs w:val="32"/>
        </w:rPr>
        <w:t>8.</w:t>
      </w:r>
      <w:r w:rsidRPr="00353BA1">
        <w:rPr>
          <w:rFonts w:eastAsia="仿宋_GB2312"/>
          <w:szCs w:val="32"/>
        </w:rPr>
        <w:t>制剂的质量标准草案及起草说明</w:t>
      </w:r>
    </w:p>
    <w:p w:rsidR="00F1161E" w:rsidRPr="00353BA1" w:rsidRDefault="00F1161E" w:rsidP="00F1161E">
      <w:pPr>
        <w:ind w:firstLineChars="200" w:firstLine="640"/>
        <w:rPr>
          <w:rFonts w:eastAsia="仿宋_GB2312"/>
          <w:szCs w:val="32"/>
        </w:rPr>
      </w:pPr>
      <w:r w:rsidRPr="00353BA1">
        <w:rPr>
          <w:rFonts w:eastAsia="仿宋_GB2312"/>
          <w:szCs w:val="32"/>
        </w:rPr>
        <w:t>9.</w:t>
      </w:r>
      <w:r w:rsidRPr="00353BA1">
        <w:rPr>
          <w:rFonts w:eastAsia="仿宋_GB2312"/>
          <w:szCs w:val="32"/>
        </w:rPr>
        <w:t>制剂的稳定性试验资料</w:t>
      </w:r>
    </w:p>
    <w:p w:rsidR="00F1161E" w:rsidRPr="00353BA1" w:rsidRDefault="00F1161E" w:rsidP="00F1161E">
      <w:pPr>
        <w:ind w:firstLineChars="200" w:firstLine="640"/>
        <w:rPr>
          <w:rFonts w:eastAsia="仿宋_GB2312"/>
          <w:szCs w:val="32"/>
        </w:rPr>
      </w:pPr>
      <w:r w:rsidRPr="00353BA1">
        <w:rPr>
          <w:rFonts w:eastAsia="仿宋_GB2312"/>
          <w:szCs w:val="32"/>
        </w:rPr>
        <w:t>化学制剂提供影响因素试验、加速试验（</w:t>
      </w:r>
      <w:r w:rsidRPr="00353BA1">
        <w:rPr>
          <w:rFonts w:eastAsia="仿宋_GB2312"/>
          <w:szCs w:val="32"/>
        </w:rPr>
        <w:t>6</w:t>
      </w:r>
      <w:r w:rsidRPr="00353BA1">
        <w:rPr>
          <w:rFonts w:eastAsia="仿宋_GB2312"/>
          <w:szCs w:val="32"/>
        </w:rPr>
        <w:t>个月）和长期试验（６个月以上）的数据。</w:t>
      </w:r>
    </w:p>
    <w:p w:rsidR="00F1161E" w:rsidRPr="00353BA1" w:rsidRDefault="00F1161E" w:rsidP="00F1161E">
      <w:pPr>
        <w:ind w:firstLineChars="200" w:firstLine="640"/>
        <w:rPr>
          <w:rFonts w:eastAsia="仿宋_GB2312"/>
          <w:szCs w:val="32"/>
        </w:rPr>
      </w:pPr>
      <w:r w:rsidRPr="00353BA1">
        <w:rPr>
          <w:rFonts w:eastAsia="仿宋_GB2312"/>
          <w:szCs w:val="32"/>
        </w:rPr>
        <w:t>中药制剂提供加速试验（</w:t>
      </w:r>
      <w:r w:rsidRPr="00353BA1">
        <w:rPr>
          <w:rFonts w:eastAsia="仿宋_GB2312"/>
          <w:szCs w:val="32"/>
        </w:rPr>
        <w:t>6</w:t>
      </w:r>
      <w:r w:rsidRPr="00353BA1">
        <w:rPr>
          <w:rFonts w:eastAsia="仿宋_GB2312"/>
          <w:szCs w:val="32"/>
        </w:rPr>
        <w:t>个月）和长期试验（６个月以上）的数据。</w:t>
      </w:r>
    </w:p>
    <w:p w:rsidR="00F1161E" w:rsidRPr="00353BA1" w:rsidRDefault="00F1161E" w:rsidP="00F1161E">
      <w:pPr>
        <w:ind w:firstLineChars="200" w:firstLine="640"/>
        <w:rPr>
          <w:rFonts w:eastAsia="仿宋_GB2312"/>
          <w:color w:val="000000"/>
          <w:szCs w:val="32"/>
        </w:rPr>
      </w:pPr>
      <w:r w:rsidRPr="00353BA1">
        <w:rPr>
          <w:rFonts w:eastAsia="仿宋_GB2312"/>
          <w:color w:val="000000"/>
          <w:szCs w:val="32"/>
        </w:rPr>
        <w:t>10.</w:t>
      </w:r>
      <w:r w:rsidRPr="00353BA1">
        <w:rPr>
          <w:rFonts w:eastAsia="仿宋_GB2312"/>
          <w:color w:val="000000"/>
          <w:szCs w:val="32"/>
        </w:rPr>
        <w:t>急性毒性试验资料及文献资料</w:t>
      </w:r>
    </w:p>
    <w:p w:rsidR="00F1161E" w:rsidRPr="00353BA1" w:rsidRDefault="00F1161E" w:rsidP="00F1161E">
      <w:pPr>
        <w:ind w:firstLineChars="200" w:firstLine="640"/>
        <w:rPr>
          <w:rFonts w:eastAsia="仿宋_GB2312"/>
          <w:szCs w:val="32"/>
        </w:rPr>
      </w:pPr>
      <w:r w:rsidRPr="00353BA1">
        <w:rPr>
          <w:rFonts w:eastAsia="仿宋_GB2312"/>
          <w:color w:val="000000"/>
          <w:szCs w:val="32"/>
        </w:rPr>
        <w:t>如果是外用无菌制剂，还应当提供过敏性和局部刺激性等特殊安全性试验资料及文献资料</w:t>
      </w:r>
    </w:p>
    <w:p w:rsidR="00F1161E" w:rsidRPr="00353BA1" w:rsidRDefault="00F1161E" w:rsidP="00F1161E">
      <w:pPr>
        <w:ind w:firstLineChars="200" w:firstLine="560"/>
        <w:rPr>
          <w:rFonts w:eastAsia="仿宋_GB2312"/>
          <w:sz w:val="28"/>
          <w:szCs w:val="28"/>
        </w:rPr>
      </w:pPr>
    </w:p>
    <w:p w:rsidR="00890CC4" w:rsidRPr="00F1161E" w:rsidRDefault="00890CC4"/>
    <w:sectPr w:rsidR="00890CC4" w:rsidRPr="00F116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1E"/>
    <w:rsid w:val="00890CC4"/>
    <w:rsid w:val="00F11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1E"/>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1E"/>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1061</Characters>
  <Application>Microsoft Office Word</Application>
  <DocSecurity>0</DocSecurity>
  <Lines>8</Lines>
  <Paragraphs>2</Paragraphs>
  <ScaleCrop>false</ScaleCrop>
  <Company>Microsoft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朱子明</dc:creator>
  <cp:lastModifiedBy>朱子明</cp:lastModifiedBy>
  <cp:revision>1</cp:revision>
  <dcterms:created xsi:type="dcterms:W3CDTF">2019-07-22T10:16:00Z</dcterms:created>
  <dcterms:modified xsi:type="dcterms:W3CDTF">2019-07-22T10:16:00Z</dcterms:modified>
</cp:coreProperties>
</file>