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jc w:val="center"/>
        <w:rPr>
          <w:rFonts w:ascii="仿宋_GB2312" w:eastAsia="仿宋_GB2312"/>
          <w:sz w:val="32"/>
          <w:szCs w:val="32"/>
        </w:rPr>
      </w:pPr>
      <w:r>
        <w:rPr>
          <w:rFonts w:ascii="Times New Roman" w:hAnsi="Times New Roman" w:eastAsia="方正小标宋简体" w:cs="Times New Roman"/>
          <w:kern w:val="0"/>
          <w:sz w:val="44"/>
          <w:szCs w:val="44"/>
        </w:rPr>
        <w:t>202</w:t>
      </w:r>
      <w:r>
        <w:rPr>
          <w:rFonts w:hint="eastAsia" w:ascii="Times New Roman" w:hAnsi="Times New Roman" w:eastAsia="方正小标宋简体" w:cs="Times New Roman"/>
          <w:kern w:val="0"/>
          <w:sz w:val="44"/>
          <w:szCs w:val="44"/>
          <w:lang w:val="en-US" w:eastAsia="zh-CN"/>
        </w:rPr>
        <w:t>3</w:t>
      </w:r>
      <w:r>
        <w:rPr>
          <w:rFonts w:hint="eastAsia" w:ascii="Times New Roman" w:hAnsi="Times New Roman" w:eastAsia="方正小标宋简体"/>
          <w:kern w:val="0"/>
          <w:sz w:val="44"/>
          <w:szCs w:val="44"/>
        </w:rPr>
        <w:t>年度省药品监督管理局科技计划拟立项项目表</w:t>
      </w:r>
    </w:p>
    <w:tbl>
      <w:tblPr>
        <w:tblStyle w:val="4"/>
        <w:tblW w:w="1550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3"/>
        <w:gridCol w:w="1183"/>
        <w:gridCol w:w="5505"/>
        <w:gridCol w:w="1297"/>
        <w:gridCol w:w="1983"/>
        <w:gridCol w:w="1765"/>
        <w:gridCol w:w="1675"/>
        <w:gridCol w:w="13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723" w:type="dxa"/>
            <w:shd w:val="clear" w:color="auto" w:fill="auto"/>
            <w:noWrap/>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序号</w:t>
            </w:r>
          </w:p>
        </w:tc>
        <w:tc>
          <w:tcPr>
            <w:tcW w:w="1183" w:type="dxa"/>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项目立项编号</w:t>
            </w:r>
          </w:p>
        </w:tc>
        <w:tc>
          <w:tcPr>
            <w:tcW w:w="5505"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项目名称</w:t>
            </w:r>
          </w:p>
        </w:tc>
        <w:tc>
          <w:tcPr>
            <w:tcW w:w="1297"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申报人</w:t>
            </w:r>
          </w:p>
        </w:tc>
        <w:tc>
          <w:tcPr>
            <w:tcW w:w="1983"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申报单位</w:t>
            </w:r>
          </w:p>
        </w:tc>
        <w:tc>
          <w:tcPr>
            <w:tcW w:w="1765"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合作单位</w:t>
            </w:r>
          </w:p>
        </w:tc>
        <w:tc>
          <w:tcPr>
            <w:tcW w:w="1675" w:type="dxa"/>
            <w:shd w:val="clear" w:color="auto" w:fill="auto"/>
            <w:noWrap/>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类别</w:t>
            </w:r>
          </w:p>
        </w:tc>
        <w:tc>
          <w:tcPr>
            <w:tcW w:w="1371" w:type="dxa"/>
            <w:shd w:val="clear" w:color="auto" w:fill="auto"/>
            <w:vAlign w:val="center"/>
          </w:tcPr>
          <w:p>
            <w:pPr>
              <w:widowControl/>
              <w:jc w:val="center"/>
              <w:rPr>
                <w:rFonts w:ascii="Times New Roman" w:hAnsi="Times New Roman" w:eastAsia="黑体" w:cs="Times New Roman"/>
                <w:bCs/>
                <w:color w:val="000000"/>
                <w:kern w:val="0"/>
                <w:sz w:val="24"/>
                <w:szCs w:val="24"/>
              </w:rPr>
            </w:pPr>
            <w:r>
              <w:rPr>
                <w:rFonts w:ascii="Times New Roman" w:hAnsi="Times New Roman" w:eastAsia="黑体" w:cs="Times New Roman"/>
                <w:bCs/>
                <w:color w:val="000000"/>
                <w:kern w:val="0"/>
                <w:sz w:val="24"/>
                <w:szCs w:val="24"/>
              </w:rPr>
              <w:t>建议经费（万元）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6"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001</w:t>
            </w:r>
          </w:p>
        </w:tc>
        <w:tc>
          <w:tcPr>
            <w:tcW w:w="5505"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口服固体制剂一致性评价品种上市后变更监管溶出关键指标评估及把握度的建立</w:t>
            </w:r>
          </w:p>
        </w:tc>
        <w:tc>
          <w:tcPr>
            <w:tcW w:w="1297"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梁锦锋</w:t>
            </w:r>
          </w:p>
        </w:tc>
        <w:tc>
          <w:tcPr>
            <w:tcW w:w="1983"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002</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灵芝孢子粉中药材饮片生产一体化质量控制关键技术研究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吴查青</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丽水市质量检验检测研究院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浙江渊健生物药业有限公司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4"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003</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高风险头孢类粉针剂包材相容性研究及综合评价体系的建立</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梁键谋</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004</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药食同源物质中多环芳烃污染分布研究及风险评估</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赵超群</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005</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基于注射剂仿制药一致性评价要求开展冻干制剂的生产工艺优化研究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付莉娜</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杭州百诚医药科技股份有限公司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006</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中药樟梨子质量标准提升研究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徐荟博</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台州市药品检验研究院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8"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007</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双标多测法用于发酵类中药红曲质量评价研究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张琳琳</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008</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“浙八味”、新“浙八味”饮片中微 生物污染分析及风险评估研究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诸夔妞</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湖州市食品药品检验研究院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7"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009</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中药饮片中真菌毒素检测结果准确性关键因素研究及解决方案</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施思</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杭州方回春堂科技服务有限公司、浙江中医药大学中药饮片有限公司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010</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宏基因组测序在药品微生物鉴定与溯源中的应用研究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严卓彦</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舟山市食品药品检验检测研究院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011</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双歧杆菌类益生菌药物的质量控制及风险评估研究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郑小玲</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012</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基于微生物挑战试验的包装密封性研究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陈君豪</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013</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基于LC-QTOF多肽识别技术对蜈蚣的道地性研究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吴纤愫</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舟山市食品药品检验检测研究院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014</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白及、山慈菇及其混伪品的鉴别与质量评价体系构建</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陈宏降</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浙江药科职业大学</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015</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乌梢蛇酒炙“矫臭增效”的物质基础及炮制过程质量控制研究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罗云云</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浙江中医药大学中药饮片有限公司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tc>
        <w:tc>
          <w:tcPr>
            <w:tcW w:w="1371"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016</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生物制品中病毒污染风险的预警研究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沈泓</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杭州微数生物科技有限公司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017</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基于31P-qNMR技术的常见补磷药物中含磷药物成分的方法研究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屠相土</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台州市药品检验研究院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30</w:t>
            </w:r>
            <w:r>
              <w:rPr>
                <w:rFonts w:ascii="Times New Roman" w:hAnsi="Times New Roman" w:eastAsia="仿宋_GB2312" w:cs="Times New Roman"/>
                <w:color w:val="000000"/>
                <w:sz w:val="24"/>
                <w:szCs w:val="24"/>
              </w:rPr>
              <w:t>18</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坎地沙坦酯片预测性溶出方法开发研究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耿晓婷</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019</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基于流通池装置的Omega-3酸乙酯90软胶囊溶出方法研究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申潜</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020</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 xml:space="preserve">玉屏风丸的质量标准提高和质量控制研究 </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岳超</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1"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21</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021</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杞菊地黄丸（浓缩丸）多指标成分溶出特性研究和质量评价</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王琤帅</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金华市食品药品检验检测研究院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22</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022</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基于源头及过程控制的红花逍遥片质量提升</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胡卫南</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衢州市食品药品检验研究院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浙江康德药业集团股份有限公司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023</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Nrf2激活剂黄芩苷对药物性肝损伤的作用研究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张聪聪</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浙江药科职业大学</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24</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024</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高风险制药企业环境菌库的建立及应用</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徐玲笑</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衢州市食品药品检验研究院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浙江巨泰药业有限公司</w:t>
            </w:r>
            <w:r>
              <w:rPr>
                <w:rFonts w:hint="eastAsia" w:ascii="Times New Roman" w:hAnsi="Times New Roman" w:eastAsia="仿宋_GB2312" w:cs="Times New Roman"/>
                <w:color w:val="000000"/>
                <w:sz w:val="24"/>
                <w:szCs w:val="24"/>
                <w:lang w:val="en-US" w:eastAsia="zh-CN"/>
              </w:rPr>
              <w:br w:type="textWrapping"/>
            </w:r>
            <w:r>
              <w:rPr>
                <w:rFonts w:hint="eastAsia" w:ascii="Times New Roman" w:hAnsi="Times New Roman" w:eastAsia="仿宋_GB2312" w:cs="Times New Roman"/>
                <w:color w:val="000000"/>
                <w:sz w:val="24"/>
                <w:szCs w:val="24"/>
                <w:lang w:val="en-US" w:eastAsia="zh-CN"/>
              </w:rPr>
              <w:t>浙江省都邦药业有限公司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025</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大枣中cAMP和cGMP快速检测与抑制PDE4活性成分靶向筛选的研究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刘柱</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26</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026</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医用激光光纤的弯曲传输对终端光斑分布特性的影响研究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李敏</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中国计量大学</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2"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027</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金属接骨板工艺性能评估</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马骏</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浙江科惠医疗器械股份有限公司</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28</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val="en-US" w:eastAsia="zh-CN"/>
              </w:rPr>
              <w:t>23</w:t>
            </w:r>
            <w:r>
              <w:rPr>
                <w:rFonts w:ascii="Times New Roman" w:hAnsi="Times New Roman" w:eastAsia="仿宋_GB2312" w:cs="Times New Roman"/>
                <w:color w:val="000000"/>
                <w:sz w:val="24"/>
                <w:szCs w:val="24"/>
              </w:rPr>
              <w:t>028</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基因芯片技术在医用口罩致病菌快速检测中的应用研究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卢昕</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29</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029</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人工晶状体压缩力下轴向位移评价</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宋婷</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4"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30</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030</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疫苗注射器自毁特性测试装置研究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肖昌豪</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031</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化妆品中糖皮质激素类快速检测技术研究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徐悦</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32</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032</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化妆品植物原料胡柚果提取物的质量标准研究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李泽桦</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033</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基于猪角膜浑浊和渗透性试验方法的建立以及化妆品眼刺激性整合策略的探索</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桑晶</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034</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喷雾型防晒类化妆品吸入毒性研究方法建立</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刘璐</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035</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基于GCMS技术的化妆品中酚类物质的研究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徐莹莹</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台州市药品检验研究院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应用技术类</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36</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036</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上市后中药安全性监测评价真实世界数据基本要素研究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胡婷霞</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37</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037</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浙江省医疗机构药物滥用监测工作模式探索与研究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吴婷</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038</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新冠疫情下药物临床试验远程检查实施办法的可行性研究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朱勇</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39</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039</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药品注册申请人药物警戒检查标准研究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耿梦纯</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“雏鹰专项”</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40</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040</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制药企业质量管理成熟度评价模型的研究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和金周</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杭州市市场监督管理局</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2"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41</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041</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浙江省化学原料药基地园区企业现状调查与问题研究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邵鹏</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42</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042</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基于科技期刊平台打造“数智药学”品牌推动数字化发展的研究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李艳芳</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浙江省食品药品检验研究院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43</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043</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关于医疗器械真实世界数据在省域医疗器械注册审批中的应用研究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朱文武</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3"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44</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044</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基于生物医用新材料的医疗器械评价和产业发展促进研究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郑超</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8"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045</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创面敷料产品全生命周期监管对策研究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曾叶</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46</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046</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高质量发展医疗器械标准化工作体系的对策研究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钱文文</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浙江省医疗器械检验研究院</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47</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047</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国产普通化妆品备案资料审查指导原则</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马晓青</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48</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048</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电子商务平台化妆品风险监测体系及风险预警协助机制的研究</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乔佳</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浙江省药品化妆品审评中心</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723" w:type="dxa"/>
            <w:shd w:val="clear" w:color="auto" w:fill="auto"/>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49</w:t>
            </w:r>
          </w:p>
        </w:tc>
        <w:tc>
          <w:tcPr>
            <w:tcW w:w="118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r>
              <w:rPr>
                <w:rFonts w:ascii="Times New Roman" w:hAnsi="Times New Roman" w:eastAsia="仿宋_GB2312" w:cs="Times New Roman"/>
                <w:color w:val="000000"/>
                <w:sz w:val="24"/>
                <w:szCs w:val="24"/>
              </w:rPr>
              <w:t>049</w:t>
            </w:r>
          </w:p>
        </w:tc>
        <w:tc>
          <w:tcPr>
            <w:tcW w:w="550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 xml:space="preserve">“四梁八柱”背景下浙江省化妆品从业人员社会共治能力提升研究 </w:t>
            </w:r>
          </w:p>
        </w:tc>
        <w:tc>
          <w:tcPr>
            <w:tcW w:w="1297"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唐霖</w:t>
            </w:r>
          </w:p>
        </w:tc>
        <w:tc>
          <w:tcPr>
            <w:tcW w:w="1983"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浙江药科职业大学</w:t>
            </w:r>
          </w:p>
        </w:tc>
        <w:tc>
          <w:tcPr>
            <w:tcW w:w="176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无</w:t>
            </w:r>
          </w:p>
        </w:tc>
        <w:tc>
          <w:tcPr>
            <w:tcW w:w="1675"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软科学研究</w:t>
            </w:r>
          </w:p>
          <w:p>
            <w:pPr>
              <w:jc w:val="center"/>
              <w:rPr>
                <w:rFonts w:hint="eastAsia" w:ascii="Times New Roman" w:hAnsi="Times New Roman" w:eastAsia="仿宋_GB2312" w:cs="Times New Roman"/>
                <w:color w:val="000000"/>
                <w:sz w:val="24"/>
                <w:szCs w:val="24"/>
                <w:lang w:val="en-US" w:eastAsia="zh-CN"/>
              </w:rPr>
            </w:pPr>
            <w:bookmarkStart w:id="0" w:name="_GoBack"/>
            <w:bookmarkEnd w:id="0"/>
            <w:r>
              <w:rPr>
                <w:rFonts w:hint="eastAsia" w:ascii="Times New Roman" w:hAnsi="Times New Roman" w:eastAsia="仿宋_GB2312" w:cs="Times New Roman"/>
                <w:color w:val="000000"/>
                <w:sz w:val="24"/>
                <w:szCs w:val="24"/>
                <w:lang w:val="en-US" w:eastAsia="zh-CN"/>
              </w:rPr>
              <w:t>B类</w:t>
            </w:r>
          </w:p>
        </w:tc>
        <w:tc>
          <w:tcPr>
            <w:tcW w:w="1371" w:type="dxa"/>
            <w:shd w:val="clear" w:color="auto" w:fill="auto"/>
            <w:vAlign w:val="center"/>
          </w:tcPr>
          <w:p>
            <w:pPr>
              <w:jc w:val="center"/>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0</w:t>
            </w:r>
          </w:p>
        </w:tc>
      </w:tr>
    </w:tbl>
    <w:p>
      <w:pPr>
        <w:rPr>
          <w:rFonts w:hint="eastAsia" w:ascii="黑体" w:hAnsi="黑体" w:eastAsia="黑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YjY3ZTQwMzgyODRkNzhkNTM4NDc4OGQ3MTJjYjIifQ=="/>
  </w:docVars>
  <w:rsids>
    <w:rsidRoot w:val="00147539"/>
    <w:rsid w:val="00090470"/>
    <w:rsid w:val="00147539"/>
    <w:rsid w:val="006E4261"/>
    <w:rsid w:val="0088500A"/>
    <w:rsid w:val="00B72963"/>
    <w:rsid w:val="00CC0F45"/>
    <w:rsid w:val="06E8267A"/>
    <w:rsid w:val="07467F19"/>
    <w:rsid w:val="1F6A7F47"/>
    <w:rsid w:val="30D721E9"/>
    <w:rsid w:val="35587542"/>
    <w:rsid w:val="5041067B"/>
    <w:rsid w:val="59E256F6"/>
    <w:rsid w:val="5CAC469D"/>
    <w:rsid w:val="662C2427"/>
    <w:rsid w:val="6902020C"/>
    <w:rsid w:val="7D67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font01"/>
    <w:basedOn w:val="5"/>
    <w:qFormat/>
    <w:uiPriority w:val="0"/>
    <w:rPr>
      <w:rFonts w:hint="eastAsia" w:ascii="仿宋_GB2312" w:eastAsia="仿宋_GB2312" w:cs="仿宋_GB2312"/>
      <w:color w:val="000000"/>
      <w:sz w:val="22"/>
      <w:szCs w:val="22"/>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2486</Words>
  <Characters>2873</Characters>
  <Lines>24</Lines>
  <Paragraphs>6</Paragraphs>
  <TotalTime>0</TotalTime>
  <ScaleCrop>false</ScaleCrop>
  <LinksUpToDate>false</LinksUpToDate>
  <CharactersWithSpaces>2916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2021-09-23T06:58:00Z</dcterms:created>
  <dc:creator>吴爱芳</dc:creator>
  <cp:lastModifiedBy>Y^2+3</cp:lastModifiedBy>
  <dcterms:modified xsi:type="dcterms:W3CDTF">2022-08-11T01:45:47Z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1E35ABFE73094FAC91B8BC7AFBBA778B</vt:lpwstr>
  </property>
</Properties>
</file>